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textAlignment w:val="baseline"/>
        <w:rPr>
          <w:rFonts w:cs="宋体" w:asciiTheme="minorEastAsia" w:hAnsiTheme="minorEastAsia"/>
          <w:kern w:val="0"/>
          <w:sz w:val="11"/>
          <w:szCs w:val="10"/>
        </w:rPr>
      </w:pPr>
      <w:r>
        <w:rPr>
          <w:rFonts w:hint="eastAsia" w:cs="宋体" w:asciiTheme="minorEastAsia" w:hAnsiTheme="minorEastAsia"/>
          <w:b/>
          <w:bCs/>
          <w:kern w:val="0"/>
          <w:sz w:val="56"/>
          <w:szCs w:val="54"/>
        </w:rPr>
        <w:t>三峡大学202</w:t>
      </w:r>
      <w:r>
        <w:rPr>
          <w:rFonts w:cs="宋体" w:asciiTheme="minorEastAsia" w:hAnsiTheme="minorEastAsia"/>
          <w:b/>
          <w:bCs/>
          <w:kern w:val="0"/>
          <w:sz w:val="56"/>
          <w:szCs w:val="54"/>
        </w:rPr>
        <w:t>1</w:t>
      </w:r>
      <w:r>
        <w:rPr>
          <w:rFonts w:hint="eastAsia" w:cs="宋体" w:asciiTheme="minorEastAsia" w:hAnsiTheme="minorEastAsia"/>
          <w:b/>
          <w:bCs/>
          <w:kern w:val="0"/>
          <w:sz w:val="56"/>
          <w:szCs w:val="54"/>
        </w:rPr>
        <w:t>年硕士研究生招生</w:t>
      </w:r>
    </w:p>
    <w:p>
      <w:pPr>
        <w:widowControl/>
        <w:shd w:val="clear" w:color="auto" w:fill="FFFFFF"/>
        <w:jc w:val="center"/>
        <w:textAlignment w:val="baseline"/>
        <w:rPr>
          <w:rFonts w:cs="宋体" w:asciiTheme="minorEastAsia" w:hAnsiTheme="minorEastAsia"/>
          <w:b/>
          <w:bCs/>
          <w:kern w:val="0"/>
          <w:sz w:val="94"/>
          <w:szCs w:val="94"/>
        </w:rPr>
      </w:pPr>
    </w:p>
    <w:p>
      <w:pPr>
        <w:widowControl/>
        <w:shd w:val="clear" w:color="auto" w:fill="FFFFFF"/>
        <w:jc w:val="center"/>
        <w:textAlignment w:val="baseline"/>
        <w:rPr>
          <w:rFonts w:cs="宋体" w:asciiTheme="minorEastAsia" w:hAnsiTheme="minorEastAsia"/>
          <w:kern w:val="0"/>
          <w:sz w:val="10"/>
          <w:szCs w:val="10"/>
        </w:rPr>
      </w:pPr>
      <w:r>
        <w:rPr>
          <w:rFonts w:hint="eastAsia" w:cs="宋体" w:asciiTheme="minorEastAsia" w:hAnsiTheme="minorEastAsia"/>
          <w:b/>
          <w:bCs/>
          <w:kern w:val="0"/>
          <w:sz w:val="94"/>
          <w:szCs w:val="94"/>
        </w:rPr>
        <w:t>考</w:t>
      </w:r>
    </w:p>
    <w:p>
      <w:pPr>
        <w:widowControl/>
        <w:shd w:val="clear" w:color="auto" w:fill="FFFFFF"/>
        <w:jc w:val="center"/>
        <w:textAlignment w:val="baseline"/>
        <w:rPr>
          <w:rFonts w:cs="宋体" w:asciiTheme="minorEastAsia" w:hAnsiTheme="minorEastAsia"/>
          <w:b/>
          <w:bCs/>
          <w:kern w:val="0"/>
          <w:sz w:val="94"/>
          <w:szCs w:val="94"/>
        </w:rPr>
      </w:pPr>
      <w:r>
        <w:rPr>
          <w:rFonts w:hint="eastAsia" w:cs="宋体" w:asciiTheme="minorEastAsia" w:hAnsiTheme="minorEastAsia"/>
          <w:b/>
          <w:bCs/>
          <w:kern w:val="0"/>
          <w:sz w:val="94"/>
          <w:szCs w:val="94"/>
        </w:rPr>
        <w:t>生</w:t>
      </w:r>
    </w:p>
    <w:p>
      <w:pPr>
        <w:widowControl/>
        <w:shd w:val="clear" w:color="auto" w:fill="FFFFFF"/>
        <w:jc w:val="center"/>
        <w:textAlignment w:val="baseline"/>
        <w:rPr>
          <w:rFonts w:cs="宋体" w:asciiTheme="minorEastAsia" w:hAnsiTheme="minorEastAsia"/>
          <w:b/>
          <w:bCs/>
          <w:kern w:val="0"/>
          <w:sz w:val="94"/>
          <w:szCs w:val="94"/>
        </w:rPr>
      </w:pPr>
      <w:r>
        <w:rPr>
          <w:rFonts w:hint="eastAsia" w:cs="宋体" w:asciiTheme="minorEastAsia" w:hAnsiTheme="minorEastAsia"/>
          <w:b/>
          <w:bCs/>
          <w:kern w:val="0"/>
          <w:sz w:val="94"/>
          <w:szCs w:val="94"/>
        </w:rPr>
        <w:t>复</w:t>
      </w:r>
    </w:p>
    <w:p>
      <w:pPr>
        <w:widowControl/>
        <w:shd w:val="clear" w:color="auto" w:fill="FFFFFF"/>
        <w:jc w:val="center"/>
        <w:textAlignment w:val="baseline"/>
        <w:rPr>
          <w:rFonts w:cs="宋体" w:asciiTheme="minorEastAsia" w:hAnsiTheme="minorEastAsia"/>
          <w:kern w:val="0"/>
          <w:sz w:val="10"/>
          <w:szCs w:val="10"/>
        </w:rPr>
      </w:pPr>
      <w:r>
        <w:rPr>
          <w:rFonts w:hint="eastAsia" w:cs="宋体" w:asciiTheme="minorEastAsia" w:hAnsiTheme="minorEastAsia"/>
          <w:b/>
          <w:bCs/>
          <w:kern w:val="0"/>
          <w:sz w:val="94"/>
          <w:szCs w:val="94"/>
        </w:rPr>
        <w:t>试</w:t>
      </w:r>
    </w:p>
    <w:p>
      <w:pPr>
        <w:widowControl/>
        <w:shd w:val="clear" w:color="auto" w:fill="FFFFFF"/>
        <w:jc w:val="center"/>
        <w:textAlignment w:val="baseline"/>
        <w:rPr>
          <w:rFonts w:cs="宋体" w:asciiTheme="minorEastAsia" w:hAnsiTheme="minorEastAsia"/>
          <w:kern w:val="0"/>
          <w:sz w:val="10"/>
          <w:szCs w:val="10"/>
        </w:rPr>
      </w:pPr>
      <w:r>
        <w:rPr>
          <w:rFonts w:hint="eastAsia" w:cs="宋体" w:asciiTheme="minorEastAsia" w:hAnsiTheme="minorEastAsia"/>
          <w:b/>
          <w:bCs/>
          <w:kern w:val="0"/>
          <w:sz w:val="94"/>
          <w:szCs w:val="94"/>
        </w:rPr>
        <w:t>手</w:t>
      </w:r>
    </w:p>
    <w:p>
      <w:pPr>
        <w:widowControl/>
        <w:shd w:val="clear" w:color="auto" w:fill="FFFFFF"/>
        <w:jc w:val="center"/>
        <w:textAlignment w:val="baseline"/>
        <w:rPr>
          <w:rFonts w:cs="宋体" w:asciiTheme="minorEastAsia" w:hAnsiTheme="minorEastAsia"/>
          <w:kern w:val="0"/>
          <w:sz w:val="10"/>
          <w:szCs w:val="10"/>
        </w:rPr>
      </w:pPr>
      <w:r>
        <w:rPr>
          <w:rFonts w:hint="eastAsia" w:cs="宋体" w:asciiTheme="minorEastAsia" w:hAnsiTheme="minorEastAsia"/>
          <w:b/>
          <w:bCs/>
          <w:kern w:val="0"/>
          <w:sz w:val="94"/>
          <w:szCs w:val="94"/>
        </w:rPr>
        <w:t>册</w:t>
      </w:r>
    </w:p>
    <w:p>
      <w:pPr>
        <w:widowControl/>
        <w:shd w:val="clear" w:color="auto" w:fill="FFFFFF"/>
        <w:jc w:val="left"/>
        <w:textAlignment w:val="baseline"/>
        <w:rPr>
          <w:rFonts w:cs="宋体" w:asciiTheme="minorEastAsia" w:hAnsiTheme="minorEastAsia"/>
          <w:kern w:val="0"/>
          <w:sz w:val="10"/>
          <w:szCs w:val="10"/>
        </w:rPr>
      </w:pPr>
    </w:p>
    <w:p>
      <w:pPr>
        <w:widowControl/>
        <w:shd w:val="clear" w:color="auto" w:fill="FFFFFF"/>
        <w:jc w:val="left"/>
        <w:textAlignment w:val="baseline"/>
        <w:rPr>
          <w:rFonts w:cs="宋体" w:asciiTheme="minorEastAsia" w:hAnsiTheme="minorEastAsia"/>
          <w:kern w:val="0"/>
          <w:sz w:val="10"/>
          <w:szCs w:val="10"/>
        </w:rPr>
      </w:pPr>
    </w:p>
    <w:p>
      <w:pPr>
        <w:widowControl/>
        <w:shd w:val="clear" w:color="auto" w:fill="FFFFFF"/>
        <w:jc w:val="left"/>
        <w:textAlignment w:val="baseline"/>
        <w:rPr>
          <w:rFonts w:cs="宋体" w:asciiTheme="minorEastAsia" w:hAnsiTheme="minorEastAsia"/>
          <w:kern w:val="0"/>
          <w:sz w:val="10"/>
          <w:szCs w:val="10"/>
        </w:rPr>
      </w:pPr>
    </w:p>
    <w:p>
      <w:pPr>
        <w:widowControl/>
        <w:shd w:val="clear" w:color="auto" w:fill="FFFFFF"/>
        <w:jc w:val="left"/>
        <w:textAlignment w:val="baseline"/>
        <w:rPr>
          <w:rFonts w:cs="宋体" w:asciiTheme="minorEastAsia" w:hAnsiTheme="minorEastAsia"/>
          <w:kern w:val="0"/>
          <w:sz w:val="10"/>
          <w:szCs w:val="10"/>
        </w:rPr>
      </w:pPr>
    </w:p>
    <w:p>
      <w:pPr>
        <w:widowControl/>
        <w:shd w:val="clear" w:color="auto" w:fill="FFFFFF"/>
        <w:jc w:val="left"/>
        <w:textAlignment w:val="baseline"/>
        <w:rPr>
          <w:rFonts w:cs="宋体" w:asciiTheme="minorEastAsia" w:hAnsiTheme="minorEastAsia"/>
          <w:kern w:val="0"/>
          <w:sz w:val="10"/>
          <w:szCs w:val="10"/>
        </w:rPr>
      </w:pPr>
    </w:p>
    <w:p>
      <w:pPr>
        <w:widowControl/>
        <w:shd w:val="clear" w:color="auto" w:fill="FFFFFF"/>
        <w:ind w:firstLine="2530" w:firstLineChars="700"/>
        <w:textAlignment w:val="baseline"/>
        <w:rPr>
          <w:rFonts w:cs="宋体" w:asciiTheme="minorEastAsia" w:hAnsiTheme="minorEastAsia"/>
          <w:kern w:val="0"/>
          <w:sz w:val="8"/>
          <w:szCs w:val="8"/>
        </w:rPr>
      </w:pPr>
      <w:r>
        <w:rPr>
          <w:rFonts w:hint="eastAsia" w:cs="宋体" w:asciiTheme="minorEastAsia" w:hAnsiTheme="minorEastAsia"/>
          <w:b/>
          <w:bCs/>
          <w:kern w:val="0"/>
          <w:sz w:val="36"/>
          <w:szCs w:val="36"/>
        </w:rPr>
        <w:t>三峡</w:t>
      </w:r>
      <w:r>
        <w:rPr>
          <w:rFonts w:cs="宋体" w:asciiTheme="minorEastAsia" w:hAnsiTheme="minorEastAsia"/>
          <w:b/>
          <w:bCs/>
          <w:kern w:val="0"/>
          <w:sz w:val="36"/>
          <w:szCs w:val="36"/>
        </w:rPr>
        <w:t>大学</w:t>
      </w:r>
      <w:r>
        <w:rPr>
          <w:rFonts w:hint="eastAsia" w:cs="宋体" w:asciiTheme="minorEastAsia" w:hAnsiTheme="minorEastAsia"/>
          <w:b/>
          <w:bCs/>
          <w:kern w:val="0"/>
          <w:sz w:val="36"/>
          <w:szCs w:val="36"/>
        </w:rPr>
        <w:t>计算机与信息</w:t>
      </w:r>
      <w:r>
        <w:rPr>
          <w:rFonts w:cs="宋体" w:asciiTheme="minorEastAsia" w:hAnsiTheme="minorEastAsia"/>
          <w:b/>
          <w:bCs/>
          <w:kern w:val="0"/>
          <w:sz w:val="36"/>
          <w:szCs w:val="36"/>
        </w:rPr>
        <w:t>学院</w:t>
      </w:r>
    </w:p>
    <w:p>
      <w:pPr>
        <w:widowControl/>
        <w:shd w:val="clear" w:color="auto" w:fill="FFFFFF"/>
        <w:ind w:left="3780" w:leftChars="1800"/>
        <w:textAlignment w:val="baseline"/>
        <w:rPr>
          <w:rFonts w:cs="宋体" w:asciiTheme="minorEastAsia" w:hAnsiTheme="minorEastAsia"/>
          <w:kern w:val="0"/>
          <w:sz w:val="8"/>
          <w:szCs w:val="8"/>
        </w:rPr>
      </w:pPr>
      <w:r>
        <w:rPr>
          <w:rFonts w:cs="宋体" w:asciiTheme="minorEastAsia" w:hAnsiTheme="minorEastAsia"/>
          <w:b/>
          <w:bCs/>
          <w:kern w:val="0"/>
          <w:sz w:val="36"/>
          <w:szCs w:val="36"/>
        </w:rPr>
        <w:t>20</w:t>
      </w:r>
      <w:r>
        <w:rPr>
          <w:rFonts w:hint="eastAsia" w:cs="宋体" w:asciiTheme="minorEastAsia" w:hAnsiTheme="minorEastAsia"/>
          <w:b/>
          <w:bCs/>
          <w:kern w:val="0"/>
          <w:sz w:val="36"/>
          <w:szCs w:val="36"/>
        </w:rPr>
        <w:t>2</w:t>
      </w:r>
      <w:r>
        <w:rPr>
          <w:rFonts w:cs="宋体" w:asciiTheme="minorEastAsia" w:hAnsiTheme="minorEastAsia"/>
          <w:b/>
          <w:bCs/>
          <w:kern w:val="0"/>
          <w:sz w:val="36"/>
          <w:szCs w:val="36"/>
        </w:rPr>
        <w:t>1年</w:t>
      </w:r>
      <w:r>
        <w:rPr>
          <w:rFonts w:hint="eastAsia" w:cs="宋体" w:asciiTheme="minorEastAsia" w:hAnsiTheme="minorEastAsia"/>
          <w:b/>
          <w:bCs/>
          <w:kern w:val="0"/>
          <w:sz w:val="36"/>
          <w:szCs w:val="36"/>
        </w:rPr>
        <w:t>3</w:t>
      </w:r>
      <w:r>
        <w:rPr>
          <w:rFonts w:cs="宋体" w:asciiTheme="minorEastAsia" w:hAnsiTheme="minorEastAsia"/>
          <w:b/>
          <w:bCs/>
          <w:kern w:val="0"/>
          <w:sz w:val="36"/>
          <w:szCs w:val="36"/>
        </w:rPr>
        <w:t>月</w:t>
      </w:r>
    </w:p>
    <w:p>
      <w:pPr>
        <w:widowControl/>
        <w:jc w:val="left"/>
      </w:pPr>
      <w:r>
        <w:br w:type="page"/>
      </w:r>
    </w:p>
    <w:p/>
    <w:p>
      <w:pPr>
        <w:widowControl/>
        <w:shd w:val="clear" w:color="auto" w:fill="FFFFFF"/>
        <w:jc w:val="center"/>
        <w:textAlignment w:val="baseline"/>
        <w:rPr>
          <w:rFonts w:ascii="宋体" w:hAnsi="宋体" w:eastAsia="宋体" w:cs="宋体"/>
          <w:kern w:val="0"/>
          <w:sz w:val="10"/>
          <w:szCs w:val="10"/>
        </w:rPr>
      </w:pPr>
      <w:r>
        <w:rPr>
          <w:rFonts w:ascii="Cambria" w:hAnsi="Cambria" w:eastAsia="宋体" w:cs="宋体"/>
          <w:b/>
          <w:bCs/>
          <w:kern w:val="0"/>
          <w:sz w:val="52"/>
          <w:szCs w:val="52"/>
        </w:rPr>
        <w:t>目  录</w:t>
      </w:r>
    </w:p>
    <w:p>
      <w:pPr>
        <w:widowControl/>
        <w:shd w:val="clear" w:color="auto" w:fill="FFFFFF"/>
        <w:jc w:val="center"/>
        <w:textAlignment w:val="baseline"/>
        <w:rPr>
          <w:rFonts w:ascii="宋体" w:hAnsi="宋体" w:eastAsia="宋体" w:cs="宋体"/>
          <w:kern w:val="0"/>
          <w:sz w:val="10"/>
          <w:szCs w:val="10"/>
        </w:rPr>
      </w:pPr>
    </w:p>
    <w:p>
      <w:pPr>
        <w:widowControl/>
        <w:shd w:val="clear" w:color="auto" w:fill="FFFFFF"/>
        <w:spacing w:line="197" w:lineRule="atLeast"/>
        <w:jc w:val="left"/>
        <w:textAlignment w:val="baseline"/>
        <w:rPr>
          <w:rFonts w:ascii="仿宋" w:hAnsi="仿宋" w:eastAsia="仿宋" w:cs="仿宋"/>
          <w:sz w:val="28"/>
          <w:szCs w:val="32"/>
        </w:rPr>
      </w:pPr>
      <w:r>
        <w:rPr>
          <w:rFonts w:hint="eastAsia" w:ascii="仿宋" w:hAnsi="仿宋" w:eastAsia="仿宋" w:cs="仿宋"/>
          <w:sz w:val="28"/>
          <w:szCs w:val="32"/>
        </w:rPr>
        <w:t>三峡大学计算机与信息学院 2021年硕士研究生考生须知</w:t>
      </w:r>
      <w:r>
        <w:rPr>
          <w:rFonts w:ascii="仿宋" w:hAnsi="仿宋" w:eastAsia="仿宋" w:cs="仿宋"/>
          <w:sz w:val="28"/>
          <w:szCs w:val="32"/>
        </w:rPr>
        <w:t>………………</w:t>
      </w:r>
      <w:r>
        <w:rPr>
          <w:rFonts w:hint="eastAsia" w:ascii="仿宋" w:hAnsi="仿宋" w:eastAsia="仿宋" w:cs="仿宋"/>
          <w:sz w:val="28"/>
          <w:szCs w:val="32"/>
        </w:rPr>
        <w:t>1</w:t>
      </w:r>
    </w:p>
    <w:p>
      <w:pPr>
        <w:widowControl/>
        <w:shd w:val="clear" w:color="auto" w:fill="FFFFFF"/>
        <w:spacing w:line="197" w:lineRule="atLeast"/>
        <w:jc w:val="left"/>
        <w:textAlignment w:val="baseline"/>
        <w:rPr>
          <w:rFonts w:hint="default" w:ascii="仿宋" w:hAnsi="仿宋" w:eastAsia="仿宋" w:cs="仿宋"/>
          <w:sz w:val="28"/>
          <w:szCs w:val="32"/>
          <w:lang w:val="en-US" w:eastAsia="zh-CN"/>
        </w:rPr>
      </w:pPr>
      <w:r>
        <w:rPr>
          <w:rFonts w:hint="eastAsia" w:ascii="仿宋" w:hAnsi="仿宋" w:eastAsia="仿宋" w:cs="仿宋"/>
          <w:sz w:val="28"/>
          <w:szCs w:val="32"/>
        </w:rPr>
        <w:t>国家教育考试违规处理办法(33号令)</w:t>
      </w:r>
      <w:r>
        <w:rPr>
          <w:rFonts w:ascii="仿宋" w:hAnsi="仿宋" w:eastAsia="仿宋" w:cs="仿宋"/>
          <w:sz w:val="28"/>
          <w:szCs w:val="32"/>
        </w:rPr>
        <w:t xml:space="preserve"> ……………………………………</w:t>
      </w:r>
      <w:r>
        <w:rPr>
          <w:rFonts w:hint="eastAsia" w:ascii="仿宋" w:hAnsi="仿宋" w:eastAsia="仿宋" w:cs="仿宋"/>
          <w:sz w:val="28"/>
          <w:szCs w:val="32"/>
          <w:lang w:val="en-US" w:eastAsia="zh-CN"/>
        </w:rPr>
        <w:t>13</w:t>
      </w:r>
    </w:p>
    <w:p>
      <w:pPr>
        <w:widowControl/>
        <w:shd w:val="clear" w:color="auto" w:fill="FFFFFF"/>
        <w:spacing w:line="197" w:lineRule="atLeast"/>
        <w:jc w:val="left"/>
        <w:textAlignment w:val="baseline"/>
        <w:rPr>
          <w:rFonts w:hint="eastAsia" w:ascii="仿宋" w:hAnsi="仿宋" w:eastAsia="仿宋" w:cs="仿宋"/>
          <w:sz w:val="28"/>
          <w:szCs w:val="32"/>
          <w:lang w:eastAsia="zh-CN"/>
        </w:rPr>
      </w:pPr>
      <w:r>
        <w:rPr>
          <w:rFonts w:hint="eastAsia" w:ascii="仿宋" w:hAnsi="仿宋" w:eastAsia="仿宋" w:cs="仿宋"/>
          <w:sz w:val="28"/>
          <w:szCs w:val="32"/>
        </w:rPr>
        <w:t>普通高等学校招生违规行为处理暂行办法(36号令)</w:t>
      </w:r>
      <w:r>
        <w:rPr>
          <w:rFonts w:ascii="仿宋" w:hAnsi="仿宋" w:eastAsia="仿宋" w:cs="仿宋"/>
          <w:sz w:val="28"/>
          <w:szCs w:val="32"/>
        </w:rPr>
        <w:t xml:space="preserve"> ……………………1</w:t>
      </w:r>
      <w:r>
        <w:rPr>
          <w:rFonts w:hint="eastAsia" w:ascii="仿宋" w:hAnsi="仿宋" w:eastAsia="仿宋" w:cs="仿宋"/>
          <w:sz w:val="28"/>
          <w:szCs w:val="32"/>
          <w:lang w:val="en-US" w:eastAsia="zh-CN"/>
        </w:rPr>
        <w:t>9</w:t>
      </w:r>
    </w:p>
    <w:p>
      <w:pPr>
        <w:widowControl/>
        <w:shd w:val="clear" w:color="auto" w:fill="FFFFFF"/>
        <w:spacing w:line="197" w:lineRule="atLeast"/>
        <w:jc w:val="left"/>
        <w:textAlignment w:val="baseline"/>
        <w:rPr>
          <w:rFonts w:hint="eastAsia" w:ascii="仿宋" w:hAnsi="仿宋" w:eastAsia="仿宋" w:cs="仿宋"/>
          <w:sz w:val="28"/>
          <w:szCs w:val="32"/>
          <w:lang w:eastAsia="zh-CN"/>
        </w:rPr>
      </w:pPr>
      <w:r>
        <w:rPr>
          <w:rFonts w:hint="eastAsia" w:ascii="仿宋" w:hAnsi="仿宋" w:eastAsia="仿宋" w:cs="仿宋"/>
          <w:sz w:val="28"/>
          <w:szCs w:val="32"/>
        </w:rPr>
        <w:t>《中华人民共和国刑法修正案》（九）中违规处分内容</w:t>
      </w:r>
      <w:r>
        <w:rPr>
          <w:rFonts w:ascii="仿宋" w:hAnsi="仿宋" w:eastAsia="仿宋" w:cs="仿宋"/>
          <w:sz w:val="28"/>
          <w:szCs w:val="32"/>
        </w:rPr>
        <w:t>…………………2</w:t>
      </w:r>
      <w:r>
        <w:rPr>
          <w:rFonts w:hint="eastAsia" w:ascii="仿宋" w:hAnsi="仿宋" w:eastAsia="仿宋" w:cs="仿宋"/>
          <w:sz w:val="28"/>
          <w:szCs w:val="32"/>
          <w:lang w:val="en-US" w:eastAsia="zh-CN"/>
        </w:rPr>
        <w:t>0</w:t>
      </w:r>
    </w:p>
    <w:p>
      <w:pPr>
        <w:widowControl/>
        <w:shd w:val="clear" w:color="auto" w:fill="FFFFFF"/>
        <w:spacing w:line="197" w:lineRule="atLeast"/>
        <w:jc w:val="left"/>
        <w:textAlignment w:val="baseline"/>
        <w:rPr>
          <w:rFonts w:hint="eastAsia" w:ascii="仿宋" w:hAnsi="仿宋" w:eastAsia="仿宋" w:cs="仿宋"/>
          <w:sz w:val="28"/>
          <w:szCs w:val="32"/>
          <w:lang w:eastAsia="zh-CN"/>
        </w:rPr>
      </w:pPr>
      <w:r>
        <w:rPr>
          <w:rFonts w:hint="eastAsia" w:ascii="仿宋" w:hAnsi="仿宋" w:eastAsia="仿宋" w:cs="仿宋"/>
          <w:sz w:val="28"/>
          <w:szCs w:val="32"/>
        </w:rPr>
        <w:t>三峡大学 2</w:t>
      </w:r>
      <w:r>
        <w:rPr>
          <w:rFonts w:ascii="仿宋" w:hAnsi="仿宋" w:eastAsia="仿宋" w:cs="仿宋"/>
          <w:sz w:val="28"/>
          <w:szCs w:val="32"/>
        </w:rPr>
        <w:t>021</w:t>
      </w:r>
      <w:r>
        <w:rPr>
          <w:rFonts w:hint="eastAsia" w:ascii="仿宋" w:hAnsi="仿宋" w:eastAsia="仿宋" w:cs="仿宋"/>
          <w:sz w:val="28"/>
          <w:szCs w:val="32"/>
        </w:rPr>
        <w:t>年硕士研究生复试考生诚信承诺书</w:t>
      </w:r>
      <w:r>
        <w:rPr>
          <w:rFonts w:ascii="仿宋" w:hAnsi="仿宋" w:eastAsia="仿宋" w:cs="仿宋"/>
          <w:sz w:val="28"/>
          <w:szCs w:val="32"/>
        </w:rPr>
        <w:t>………………………2</w:t>
      </w:r>
      <w:r>
        <w:rPr>
          <w:rFonts w:hint="eastAsia" w:ascii="仿宋" w:hAnsi="仿宋" w:eastAsia="仿宋" w:cs="仿宋"/>
          <w:sz w:val="28"/>
          <w:szCs w:val="32"/>
          <w:lang w:val="en-US" w:eastAsia="zh-CN"/>
        </w:rPr>
        <w:t>1</w:t>
      </w:r>
    </w:p>
    <w:p>
      <w:pPr>
        <w:widowControl/>
        <w:shd w:val="clear" w:color="auto" w:fill="FFFFFF"/>
        <w:spacing w:line="197" w:lineRule="atLeast"/>
        <w:jc w:val="left"/>
        <w:textAlignment w:val="baseline"/>
        <w:rPr>
          <w:rFonts w:hint="eastAsia" w:ascii="仿宋" w:hAnsi="仿宋" w:eastAsia="仿宋" w:cs="仿宋"/>
          <w:sz w:val="28"/>
          <w:szCs w:val="32"/>
          <w:lang w:eastAsia="zh-CN"/>
        </w:rPr>
      </w:pPr>
      <w:r>
        <w:rPr>
          <w:rFonts w:hint="eastAsia" w:ascii="仿宋" w:hAnsi="仿宋" w:eastAsia="仿宋" w:cs="仿宋"/>
          <w:sz w:val="28"/>
          <w:szCs w:val="32"/>
        </w:rPr>
        <w:t>三峡大学计算机与信息学院 2021年硕士研究生复试资格审查</w:t>
      </w:r>
      <w:r>
        <w:rPr>
          <w:rFonts w:ascii="仿宋" w:hAnsi="仿宋" w:eastAsia="仿宋" w:cs="仿宋"/>
          <w:sz w:val="28"/>
          <w:szCs w:val="32"/>
        </w:rPr>
        <w:t>…………2</w:t>
      </w:r>
      <w:r>
        <w:rPr>
          <w:rFonts w:hint="eastAsia" w:ascii="仿宋" w:hAnsi="仿宋" w:eastAsia="仿宋" w:cs="仿宋"/>
          <w:sz w:val="28"/>
          <w:szCs w:val="32"/>
          <w:lang w:val="en-US" w:eastAsia="zh-CN"/>
        </w:rPr>
        <w:t>2</w:t>
      </w:r>
    </w:p>
    <w:p>
      <w:pPr>
        <w:widowControl/>
        <w:shd w:val="clear" w:color="auto" w:fill="FFFFFF"/>
        <w:spacing w:line="197" w:lineRule="atLeast"/>
        <w:jc w:val="left"/>
        <w:textAlignment w:val="baseline"/>
        <w:rPr>
          <w:rFonts w:hint="default" w:ascii="仿宋" w:hAnsi="仿宋" w:eastAsia="仿宋" w:cs="仿宋"/>
          <w:sz w:val="28"/>
          <w:szCs w:val="32"/>
          <w:lang w:val="en-US" w:eastAsia="zh-CN"/>
        </w:rPr>
      </w:pPr>
      <w:r>
        <w:rPr>
          <w:rFonts w:hint="eastAsia" w:ascii="仿宋" w:hAnsi="仿宋" w:eastAsia="仿宋" w:cs="仿宋"/>
          <w:sz w:val="28"/>
          <w:szCs w:val="32"/>
        </w:rPr>
        <w:t>三峡大学计算机与信息学院 2021年硕士研究生复试考场规则</w:t>
      </w:r>
      <w:r>
        <w:rPr>
          <w:rFonts w:ascii="仿宋" w:hAnsi="仿宋" w:eastAsia="仿宋" w:cs="仿宋"/>
          <w:sz w:val="28"/>
          <w:szCs w:val="32"/>
        </w:rPr>
        <w:t>…………</w:t>
      </w:r>
      <w:r>
        <w:rPr>
          <w:rFonts w:hint="eastAsia" w:ascii="仿宋" w:hAnsi="仿宋" w:eastAsia="仿宋" w:cs="仿宋"/>
          <w:sz w:val="28"/>
          <w:szCs w:val="32"/>
          <w:lang w:val="en-US" w:eastAsia="zh-CN"/>
        </w:rPr>
        <w:t>23</w:t>
      </w:r>
    </w:p>
    <w:p>
      <w:pPr>
        <w:widowControl/>
        <w:shd w:val="clear" w:color="auto" w:fill="FFFFFF"/>
        <w:spacing w:line="197" w:lineRule="atLeast"/>
        <w:jc w:val="left"/>
        <w:textAlignment w:val="baseline"/>
        <w:rPr>
          <w:rFonts w:hint="default" w:ascii="Cambria" w:hAnsi="Cambria" w:eastAsia="仿宋" w:cs="宋体"/>
          <w:kern w:val="0"/>
          <w:sz w:val="30"/>
          <w:u w:val="single"/>
          <w:lang w:val="en-US" w:eastAsia="zh-CN"/>
        </w:rPr>
      </w:pPr>
      <w:r>
        <w:rPr>
          <w:rFonts w:hint="eastAsia" w:ascii="仿宋" w:hAnsi="仿宋" w:eastAsia="仿宋" w:cs="仿宋"/>
          <w:sz w:val="28"/>
          <w:szCs w:val="32"/>
        </w:rPr>
        <w:t>三峡大学计算机与信息学院 2021年硕士研究生复试知情承诺书</w:t>
      </w:r>
      <w:r>
        <w:rPr>
          <w:rFonts w:ascii="仿宋" w:hAnsi="仿宋" w:eastAsia="仿宋" w:cs="仿宋"/>
          <w:sz w:val="28"/>
          <w:szCs w:val="32"/>
        </w:rPr>
        <w:t>………</w:t>
      </w:r>
      <w:r>
        <w:rPr>
          <w:rFonts w:hint="eastAsia" w:ascii="仿宋" w:hAnsi="仿宋" w:eastAsia="仿宋" w:cs="仿宋"/>
          <w:sz w:val="28"/>
          <w:szCs w:val="32"/>
          <w:lang w:val="en-US" w:eastAsia="zh-CN"/>
        </w:rPr>
        <w:t>24</w:t>
      </w:r>
    </w:p>
    <w:p>
      <w:pPr>
        <w:widowControl/>
        <w:shd w:val="clear" w:color="auto" w:fill="FFFFFF"/>
        <w:spacing w:line="197" w:lineRule="atLeast"/>
        <w:jc w:val="left"/>
        <w:textAlignment w:val="baseline"/>
        <w:rPr>
          <w:rFonts w:ascii="Cambria" w:hAnsi="Cambria" w:eastAsia="宋体" w:cs="宋体"/>
          <w:kern w:val="0"/>
          <w:sz w:val="30"/>
          <w:u w:val="single"/>
        </w:rPr>
      </w:pPr>
    </w:p>
    <w:p>
      <w:pPr>
        <w:widowControl/>
        <w:shd w:val="clear" w:color="auto" w:fill="FFFFFF"/>
        <w:spacing w:line="197" w:lineRule="atLeast"/>
        <w:jc w:val="left"/>
        <w:textAlignment w:val="baseline"/>
        <w:sectPr>
          <w:footerReference r:id="rId3" w:type="default"/>
          <w:pgSz w:w="11906" w:h="16838"/>
          <w:pgMar w:top="1134" w:right="1134" w:bottom="1134" w:left="1418" w:header="851" w:footer="992" w:gutter="0"/>
          <w:cols w:space="425" w:num="1"/>
          <w:docGrid w:type="lines" w:linePitch="312" w:charSpace="0"/>
        </w:sectPr>
      </w:pPr>
      <w:r>
        <w:br w:type="page"/>
      </w:r>
    </w:p>
    <w:p>
      <w:pPr>
        <w:widowControl/>
        <w:shd w:val="clear" w:color="auto" w:fill="FFFFFF"/>
        <w:spacing w:line="197" w:lineRule="atLeast"/>
        <w:jc w:val="left"/>
        <w:textAlignment w:val="baseline"/>
      </w:pPr>
    </w:p>
    <w:p>
      <w:pPr>
        <w:widowControl/>
        <w:shd w:val="clear" w:color="auto" w:fill="FFFFFF"/>
        <w:spacing w:line="197" w:lineRule="atLeast"/>
        <w:jc w:val="center"/>
        <w:textAlignment w:val="baseline"/>
        <w:rPr>
          <w:rFonts w:cs="仿宋" w:asciiTheme="majorEastAsia" w:hAnsiTheme="majorEastAsia" w:eastAsiaTheme="majorEastAsia"/>
          <w:sz w:val="32"/>
          <w:szCs w:val="32"/>
        </w:rPr>
      </w:pPr>
      <w:r>
        <w:rPr>
          <w:rFonts w:hint="eastAsia" w:cs="仿宋" w:asciiTheme="majorEastAsia" w:hAnsiTheme="majorEastAsia" w:eastAsiaTheme="majorEastAsia"/>
          <w:b/>
          <w:sz w:val="32"/>
          <w:szCs w:val="32"/>
        </w:rPr>
        <w:t>三峡大学计算机与信息学院2021年硕士研究生复试考生须知</w:t>
      </w:r>
    </w:p>
    <w:p/>
    <w:p>
      <w:pPr>
        <w:widowControl/>
        <w:shd w:val="clear" w:color="auto" w:fill="FFFFFF"/>
        <w:spacing w:line="500" w:lineRule="exact"/>
        <w:ind w:firstLine="560" w:firstLineChars="200"/>
        <w:textAlignment w:val="baseline"/>
        <w:rPr>
          <w:rFonts w:ascii="仿宋" w:hAnsi="仿宋" w:eastAsia="仿宋" w:cs="Tahoma"/>
          <w:kern w:val="0"/>
          <w:sz w:val="28"/>
          <w:szCs w:val="28"/>
        </w:rPr>
      </w:pPr>
      <w:r>
        <w:rPr>
          <w:rFonts w:hint="eastAsia" w:ascii="仿宋" w:hAnsi="仿宋" w:eastAsia="仿宋" w:cs="Tahoma"/>
          <w:kern w:val="0"/>
          <w:sz w:val="28"/>
          <w:szCs w:val="28"/>
        </w:rPr>
        <w:t>三峡大学计算机与信息学院2021年硕士研究生复试采取线下复试方式，</w:t>
      </w:r>
      <w:r>
        <w:rPr>
          <w:rFonts w:ascii="仿宋" w:hAnsi="仿宋" w:eastAsia="仿宋" w:cs="Tahoma"/>
          <w:kern w:val="0"/>
          <w:sz w:val="28"/>
          <w:szCs w:val="28"/>
        </w:rPr>
        <w:t>请考生认真阅读</w:t>
      </w:r>
      <w:r>
        <w:rPr>
          <w:rFonts w:hint="eastAsia" w:ascii="仿宋" w:hAnsi="仿宋" w:eastAsia="仿宋" w:cs="Tahoma"/>
          <w:kern w:val="0"/>
          <w:sz w:val="28"/>
          <w:szCs w:val="28"/>
        </w:rPr>
        <w:t>本须知</w:t>
      </w:r>
      <w:r>
        <w:rPr>
          <w:rFonts w:ascii="仿宋" w:hAnsi="仿宋" w:eastAsia="仿宋" w:cs="Tahoma"/>
          <w:kern w:val="0"/>
          <w:sz w:val="28"/>
          <w:szCs w:val="28"/>
        </w:rPr>
        <w:t>。</w:t>
      </w:r>
    </w:p>
    <w:p>
      <w:pPr>
        <w:pStyle w:val="9"/>
        <w:shd w:val="clear" w:color="auto" w:fill="FFFFFF"/>
        <w:spacing w:before="0" w:beforeAutospacing="0" w:after="0" w:afterAutospacing="0" w:line="500" w:lineRule="exact"/>
        <w:ind w:firstLine="560" w:firstLineChars="200"/>
        <w:rPr>
          <w:rFonts w:ascii="仿宋" w:hAnsi="仿宋" w:eastAsia="仿宋" w:cs="Tahoma"/>
          <w:sz w:val="28"/>
          <w:szCs w:val="28"/>
        </w:rPr>
      </w:pPr>
      <w:r>
        <w:rPr>
          <w:rFonts w:hint="eastAsia" w:ascii="仿宋" w:hAnsi="仿宋" w:eastAsia="仿宋" w:cs="Tahoma"/>
          <w:sz w:val="28"/>
          <w:szCs w:val="28"/>
        </w:rPr>
        <w:t>一、我校已在研究生院官网公布《三峡大学2021年硕士研究生复试工作方案》，我院已在本院官网公布《计算机与信息学院2021年硕士研究生复试录取工作实施细则》，请及时查看阅知。</w:t>
      </w:r>
    </w:p>
    <w:p>
      <w:pPr>
        <w:pStyle w:val="9"/>
        <w:shd w:val="clear" w:color="auto" w:fill="FFFFFF"/>
        <w:spacing w:before="0" w:beforeAutospacing="0" w:after="0" w:afterAutospacing="0" w:line="500" w:lineRule="exact"/>
        <w:ind w:firstLine="560" w:firstLineChars="200"/>
        <w:rPr>
          <w:rFonts w:ascii="仿宋" w:hAnsi="仿宋" w:eastAsia="仿宋" w:cs="Tahoma"/>
          <w:sz w:val="28"/>
          <w:szCs w:val="28"/>
        </w:rPr>
      </w:pPr>
      <w:r>
        <w:rPr>
          <w:rFonts w:ascii="仿宋" w:hAnsi="仿宋" w:eastAsia="仿宋" w:cs="Tahoma"/>
          <w:sz w:val="28"/>
          <w:szCs w:val="28"/>
        </w:rPr>
        <w:t>二</w:t>
      </w:r>
      <w:r>
        <w:rPr>
          <w:rFonts w:hint="eastAsia" w:ascii="仿宋" w:hAnsi="仿宋" w:eastAsia="仿宋" w:cs="Tahoma"/>
          <w:sz w:val="28"/>
          <w:szCs w:val="28"/>
        </w:rPr>
        <w:t>、请全面阅读考生复试手册内容。</w:t>
      </w:r>
    </w:p>
    <w:p>
      <w:pPr>
        <w:pStyle w:val="9"/>
        <w:shd w:val="clear" w:color="auto" w:fill="FFFFFF"/>
        <w:spacing w:before="0" w:beforeAutospacing="0" w:after="0" w:afterAutospacing="0" w:line="500" w:lineRule="exact"/>
        <w:ind w:firstLine="560" w:firstLineChars="200"/>
        <w:rPr>
          <w:rFonts w:ascii="仿宋" w:hAnsi="仿宋" w:eastAsia="仿宋" w:cs="Tahoma"/>
          <w:sz w:val="28"/>
          <w:szCs w:val="28"/>
        </w:rPr>
      </w:pPr>
      <w:r>
        <w:rPr>
          <w:rFonts w:hint="eastAsia" w:ascii="仿宋" w:hAnsi="仿宋" w:eastAsia="仿宋" w:cs="Tahoma"/>
          <w:sz w:val="28"/>
          <w:szCs w:val="28"/>
        </w:rPr>
        <w:t>三、请认真学习《</w:t>
      </w:r>
      <w:r>
        <w:rPr>
          <w:rFonts w:ascii="仿宋" w:hAnsi="仿宋" w:eastAsia="仿宋" w:cs="Tahoma"/>
          <w:sz w:val="28"/>
          <w:szCs w:val="28"/>
        </w:rPr>
        <w:t>国家教育考试违规处理办法</w:t>
      </w:r>
      <w:r>
        <w:rPr>
          <w:rFonts w:hint="eastAsia" w:ascii="仿宋" w:hAnsi="仿宋" w:eastAsia="仿宋" w:cs="Tahoma"/>
          <w:sz w:val="28"/>
          <w:szCs w:val="28"/>
        </w:rPr>
        <w:t>》、《普通高等学校招生违规行为处理暂行办法》、《中华人民共和国刑法修正案》（九）中违规处理内容，认真阅读并签订诚信承诺书。</w:t>
      </w:r>
    </w:p>
    <w:p>
      <w:pPr>
        <w:pStyle w:val="9"/>
        <w:shd w:val="clear" w:color="auto" w:fill="FFFFFF"/>
        <w:spacing w:before="0" w:beforeAutospacing="0" w:after="0" w:afterAutospacing="0" w:line="500" w:lineRule="exact"/>
        <w:ind w:firstLine="560" w:firstLineChars="200"/>
        <w:rPr>
          <w:rFonts w:ascii="仿宋" w:hAnsi="仿宋" w:eastAsia="仿宋" w:cs="Tahoma"/>
          <w:sz w:val="28"/>
          <w:szCs w:val="28"/>
        </w:rPr>
      </w:pPr>
      <w:r>
        <w:rPr>
          <w:rFonts w:hint="eastAsia" w:ascii="仿宋" w:hAnsi="仿宋" w:eastAsia="仿宋" w:cs="Tahoma"/>
          <w:sz w:val="28"/>
          <w:szCs w:val="28"/>
        </w:rPr>
        <w:t>四、请</w:t>
      </w:r>
      <w:r>
        <w:rPr>
          <w:rFonts w:ascii="仿宋" w:hAnsi="仿宋" w:eastAsia="仿宋" w:cs="Tahoma"/>
          <w:sz w:val="28"/>
          <w:szCs w:val="28"/>
        </w:rPr>
        <w:t>认真</w:t>
      </w:r>
      <w:r>
        <w:rPr>
          <w:rFonts w:hint="eastAsia" w:ascii="仿宋" w:hAnsi="仿宋" w:eastAsia="仿宋" w:cs="Tahoma"/>
          <w:sz w:val="28"/>
          <w:szCs w:val="28"/>
        </w:rPr>
        <w:t>阅读我</w:t>
      </w:r>
      <w:r>
        <w:rPr>
          <w:rFonts w:ascii="仿宋" w:hAnsi="仿宋" w:eastAsia="仿宋" w:cs="Tahoma"/>
          <w:sz w:val="28"/>
          <w:szCs w:val="28"/>
        </w:rPr>
        <w:t>院线下复试相关要求和安排</w:t>
      </w:r>
      <w:r>
        <w:rPr>
          <w:rFonts w:hint="eastAsia" w:ascii="仿宋" w:hAnsi="仿宋" w:eastAsia="仿宋" w:cs="Tahoma"/>
          <w:sz w:val="28"/>
          <w:szCs w:val="28"/>
        </w:rPr>
        <w:t>，积极做好相关</w:t>
      </w:r>
      <w:r>
        <w:rPr>
          <w:rFonts w:ascii="仿宋" w:hAnsi="仿宋" w:eastAsia="仿宋" w:cs="Tahoma"/>
          <w:sz w:val="28"/>
          <w:szCs w:val="28"/>
        </w:rPr>
        <w:t>准备工作</w:t>
      </w:r>
      <w:r>
        <w:rPr>
          <w:rFonts w:hint="eastAsia" w:ascii="仿宋" w:hAnsi="仿宋" w:eastAsia="仿宋" w:cs="Tahoma"/>
          <w:sz w:val="28"/>
          <w:szCs w:val="28"/>
        </w:rPr>
        <w:t>，如提交资格审核材料、复试考察知识准备等，</w:t>
      </w:r>
      <w:r>
        <w:rPr>
          <w:rFonts w:ascii="仿宋" w:hAnsi="仿宋" w:eastAsia="仿宋" w:cs="Tahoma"/>
          <w:sz w:val="28"/>
          <w:szCs w:val="28"/>
        </w:rPr>
        <w:t>确保复试顺利进行</w:t>
      </w:r>
      <w:r>
        <w:rPr>
          <w:rFonts w:hint="eastAsia" w:ascii="仿宋" w:hAnsi="仿宋" w:eastAsia="仿宋" w:cs="Tahoma"/>
          <w:sz w:val="28"/>
          <w:szCs w:val="28"/>
        </w:rPr>
        <w:t>。同时，认真阅读并签订知情承诺书。</w:t>
      </w:r>
    </w:p>
    <w:p>
      <w:pPr>
        <w:pStyle w:val="9"/>
        <w:shd w:val="clear" w:color="auto" w:fill="FFFFFF"/>
        <w:spacing w:before="0" w:beforeAutospacing="0" w:after="0" w:afterAutospacing="0" w:line="500" w:lineRule="exact"/>
        <w:ind w:firstLine="560" w:firstLineChars="200"/>
        <w:rPr>
          <w:rFonts w:ascii="仿宋" w:hAnsi="仿宋" w:eastAsia="仿宋" w:cs="Tahoma"/>
          <w:sz w:val="28"/>
          <w:szCs w:val="28"/>
        </w:rPr>
      </w:pPr>
      <w:r>
        <w:rPr>
          <w:rFonts w:hint="eastAsia" w:ascii="仿宋" w:hAnsi="仿宋" w:eastAsia="仿宋" w:cs="Tahoma"/>
          <w:sz w:val="28"/>
          <w:szCs w:val="28"/>
        </w:rPr>
        <w:t>五、如有疑问，请致电学院研究生管理办公室，联系人瞿老师和刘老师，联系电话</w:t>
      </w:r>
      <w:r>
        <w:rPr>
          <w:rFonts w:ascii="仿宋" w:hAnsi="仿宋" w:eastAsia="仿宋" w:cs="Tahoma"/>
          <w:sz w:val="28"/>
          <w:szCs w:val="28"/>
        </w:rPr>
        <w:t>0717-6393012</w:t>
      </w:r>
      <w:r>
        <w:rPr>
          <w:rFonts w:hint="eastAsia" w:ascii="仿宋" w:hAnsi="仿宋" w:eastAsia="仿宋" w:cs="Tahoma"/>
          <w:sz w:val="28"/>
          <w:szCs w:val="28"/>
        </w:rPr>
        <w:t>。</w:t>
      </w:r>
    </w:p>
    <w:p>
      <w:pPr>
        <w:pStyle w:val="9"/>
        <w:shd w:val="clear" w:color="auto" w:fill="FFFFFF"/>
        <w:spacing w:before="0" w:beforeAutospacing="0" w:after="0" w:afterAutospacing="0"/>
        <w:rPr>
          <w:rFonts w:ascii="仿宋" w:hAnsi="仿宋" w:eastAsia="仿宋" w:cs="仿宋"/>
          <w:kern w:val="2"/>
          <w:sz w:val="28"/>
          <w:szCs w:val="32"/>
        </w:rPr>
      </w:pPr>
    </w:p>
    <w:p/>
    <w:p>
      <w:pPr>
        <w:widowControl/>
        <w:shd w:val="clear" w:color="auto" w:fill="FFFFFF"/>
        <w:textAlignment w:val="baseline"/>
        <w:rPr>
          <w:rFonts w:ascii="宋体" w:hAnsi="宋体" w:eastAsia="宋体" w:cs="宋体"/>
          <w:kern w:val="0"/>
          <w:sz w:val="10"/>
          <w:szCs w:val="10"/>
        </w:rPr>
      </w:pPr>
    </w:p>
    <w:p>
      <w:pPr>
        <w:widowControl/>
        <w:jc w:val="left"/>
      </w:pPr>
      <w:bookmarkStart w:id="0" w:name="_Toc4159163"/>
      <w:bookmarkEnd w:id="0"/>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pStyle w:val="9"/>
        <w:shd w:val="clear" w:color="auto" w:fill="FFFFFF"/>
        <w:spacing w:before="0" w:beforeAutospacing="0" w:after="0" w:afterAutospacing="0"/>
        <w:jc w:val="center"/>
        <w:rPr>
          <w:rStyle w:val="13"/>
          <w:rFonts w:ascii="仿宋" w:hAnsi="仿宋" w:eastAsia="仿宋" w:cs="Tahoma"/>
          <w:sz w:val="32"/>
          <w:szCs w:val="32"/>
        </w:rPr>
      </w:pPr>
    </w:p>
    <w:p>
      <w:pPr>
        <w:pStyle w:val="9"/>
        <w:shd w:val="clear" w:color="auto" w:fill="FFFFFF"/>
        <w:spacing w:before="0" w:beforeAutospacing="0" w:after="0" w:afterAutospacing="0"/>
        <w:jc w:val="center"/>
        <w:rPr>
          <w:rStyle w:val="13"/>
          <w:rFonts w:ascii="仿宋" w:hAnsi="仿宋" w:eastAsia="仿宋" w:cs="Tahoma"/>
          <w:sz w:val="32"/>
          <w:szCs w:val="32"/>
        </w:rPr>
      </w:pPr>
      <w:bookmarkStart w:id="1" w:name="_GoBack"/>
      <w:bookmarkEnd w:id="1"/>
    </w:p>
    <w:p>
      <w:pPr>
        <w:pStyle w:val="9"/>
        <w:shd w:val="clear" w:color="auto" w:fill="FFFFFF"/>
        <w:spacing w:before="0" w:beforeAutospacing="0" w:after="0" w:afterAutospacing="0"/>
        <w:jc w:val="center"/>
        <w:rPr>
          <w:rFonts w:ascii="仿宋" w:hAnsi="仿宋" w:eastAsia="仿宋" w:cs="Tahoma"/>
          <w:sz w:val="32"/>
          <w:szCs w:val="32"/>
        </w:rPr>
      </w:pPr>
      <w:r>
        <w:rPr>
          <w:rStyle w:val="13"/>
          <w:rFonts w:ascii="仿宋" w:hAnsi="仿宋" w:eastAsia="仿宋" w:cs="Tahoma"/>
          <w:sz w:val="32"/>
          <w:szCs w:val="32"/>
        </w:rPr>
        <w:t>国家教育考试违规处理办法</w:t>
      </w:r>
      <w:r>
        <w:rPr>
          <w:rStyle w:val="13"/>
          <w:rFonts w:hint="eastAsia" w:ascii="仿宋" w:hAnsi="仿宋" w:eastAsia="仿宋" w:cs="Tahoma"/>
          <w:sz w:val="32"/>
          <w:szCs w:val="32"/>
        </w:rPr>
        <w:t>(33号令)</w:t>
      </w:r>
    </w:p>
    <w:p>
      <w:pPr>
        <w:pStyle w:val="9"/>
        <w:shd w:val="clear" w:color="auto" w:fill="FFFFFF"/>
        <w:spacing w:before="0" w:beforeAutospacing="0" w:after="45" w:afterAutospacing="0"/>
        <w:jc w:val="center"/>
        <w:rPr>
          <w:rFonts w:ascii="仿宋" w:hAnsi="仿宋" w:eastAsia="仿宋" w:cs="Tahoma"/>
          <w:sz w:val="28"/>
          <w:szCs w:val="28"/>
        </w:rPr>
      </w:pPr>
    </w:p>
    <w:p>
      <w:pPr>
        <w:pStyle w:val="9"/>
        <w:shd w:val="clear" w:color="auto" w:fill="FFFFFF"/>
        <w:spacing w:before="0" w:beforeAutospacing="0" w:after="0" w:afterAutospacing="0"/>
        <w:jc w:val="center"/>
        <w:rPr>
          <w:rFonts w:ascii="仿宋" w:hAnsi="仿宋" w:eastAsia="仿宋" w:cs="Tahoma"/>
          <w:sz w:val="28"/>
          <w:szCs w:val="28"/>
        </w:rPr>
      </w:pPr>
      <w:r>
        <w:rPr>
          <w:rStyle w:val="13"/>
          <w:rFonts w:ascii="仿宋" w:hAnsi="仿宋" w:eastAsia="仿宋" w:cs="Tahoma"/>
          <w:sz w:val="28"/>
          <w:szCs w:val="28"/>
        </w:rPr>
        <w:t>第一章　总则</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第一条　为规范对国家教育考试违规行为的认定与处理，维护国家教育考试的公平、公正，保障参加国家教育考试的人员（以下简称考生）、从事和参与国家教育考试工作的人员（以下简称考试工作人员）的合法权益，根据《中华人民共和国教育法》及相关法律、行政法规，制定本办法。</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第二条　本办法所称国家教育考试是指普通和成人高等学校招生考试、全国硕士研究生招生考试、高等教育自学考试等，由国务院教育行政部门确定实施，由经批准的实施教育考试的机构承办，面向社会公开、统一举行，其结果作为招收学历教育学生或者取得国家承认学历、学位证书依据的测试活动。</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第三条　对参加国家教育考试的考生以及考试工作人员、其他相关人员，违反考试管理规定和考场纪律，影响考试公平、公正行为的认定与处理，适用本办法。</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对国家教育考试违规行为的认定与处理应当公开公平、合法适当。</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第四条　国务院教育行政部门及地方各级人民政府教育行政部门负责全国或者本地区国家教育考试组织工作的管理与监督。</w:t>
      </w:r>
    </w:p>
    <w:p>
      <w:pPr>
        <w:pStyle w:val="9"/>
        <w:shd w:val="clear" w:color="auto" w:fill="FFFFFF"/>
        <w:spacing w:before="0" w:beforeAutospacing="0" w:after="45" w:afterAutospacing="0"/>
        <w:ind w:firstLine="563"/>
        <w:rPr>
          <w:rFonts w:ascii="仿宋" w:hAnsi="仿宋" w:eastAsia="仿宋" w:cs="Tahoma"/>
          <w:sz w:val="28"/>
          <w:szCs w:val="28"/>
        </w:rPr>
      </w:pPr>
      <w:r>
        <w:rPr>
          <w:rFonts w:ascii="仿宋" w:hAnsi="仿宋" w:eastAsia="仿宋" w:cs="Tahoma"/>
          <w:sz w:val="28"/>
          <w:szCs w:val="28"/>
        </w:rPr>
        <w:t>承办国家教育考试的各级教育考试机构负责有关考试的具体实施，依据本办法，负责对考试违规行为的认定与处理。</w:t>
      </w:r>
    </w:p>
    <w:p>
      <w:pPr>
        <w:pStyle w:val="9"/>
        <w:shd w:val="clear" w:color="auto" w:fill="FFFFFF"/>
        <w:spacing w:before="0" w:beforeAutospacing="0" w:after="45" w:afterAutospacing="0"/>
        <w:ind w:firstLine="563"/>
        <w:rPr>
          <w:rFonts w:ascii="仿宋" w:hAnsi="仿宋" w:eastAsia="仿宋" w:cs="Tahoma"/>
          <w:sz w:val="28"/>
          <w:szCs w:val="28"/>
        </w:rPr>
      </w:pPr>
    </w:p>
    <w:p>
      <w:pPr>
        <w:pStyle w:val="9"/>
        <w:shd w:val="clear" w:color="auto" w:fill="FFFFFF"/>
        <w:spacing w:before="0" w:beforeAutospacing="0" w:after="45" w:afterAutospacing="0"/>
        <w:ind w:firstLine="563"/>
        <w:rPr>
          <w:rFonts w:ascii="仿宋" w:hAnsi="仿宋" w:eastAsia="仿宋" w:cs="Tahoma"/>
          <w:sz w:val="28"/>
          <w:szCs w:val="28"/>
        </w:rPr>
      </w:pPr>
    </w:p>
    <w:p>
      <w:pPr>
        <w:pStyle w:val="9"/>
        <w:shd w:val="clear" w:color="auto" w:fill="FFFFFF"/>
        <w:spacing w:before="0" w:beforeAutospacing="0" w:after="0" w:afterAutospacing="0"/>
        <w:jc w:val="center"/>
        <w:rPr>
          <w:rFonts w:ascii="仿宋" w:hAnsi="仿宋" w:eastAsia="仿宋" w:cs="Tahoma"/>
          <w:sz w:val="28"/>
          <w:szCs w:val="28"/>
        </w:rPr>
      </w:pPr>
      <w:r>
        <w:rPr>
          <w:rStyle w:val="13"/>
          <w:rFonts w:ascii="仿宋" w:hAnsi="仿宋" w:eastAsia="仿宋" w:cs="Tahoma"/>
          <w:sz w:val="28"/>
          <w:szCs w:val="28"/>
        </w:rPr>
        <w:t>第二章　违规行为的认定与处理</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第五条　考生不遵守考场纪律，不服从考试工作人员的安排与要求，有下列行为之一的，应当认定为考试违纪：</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（一）携带规定以外的物品进入考场或者未放在指定位置的；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（二）未在规定的座位参加考试的；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（三）考试开始信号发出前答题或者考试结束信号发出后继续答题的；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（四）在考试过程中旁窥、交头接耳、互打暗号或者手势的；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（五）在考场或者教育考试机构禁止的范围内，喧哗、吸烟或者实施其他影响考场秩序的行为的；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（六）未经考试工作人员同意在考试过程中擅自离开考场的；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（七）将试卷、答卷（含答题卡、答题纸等，下同）、草稿纸等考试用纸带出考场的；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（八）用规定以外的笔或者纸答题或者在试卷规定以外的地方书写姓名、考号或者以其他方式在答卷上标记信息的；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（九）其他违反考场规则但尚未构成作弊的行为。</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第六条　考生违背考试公平、公正原则，在考试过程中有下列行为之一的，应当认定为考试作弊：</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（一）携带与考试内容相关的材料或者存储有与考试内容相关资料的电子设备参加考试的；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（二）抄袭或者协助他人抄袭试题答案或者与考试内容相关的资料的；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（三）抢夺、窃取他人试卷、答卷或者胁迫他人为自己抄袭提供方便的；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（四）携带具有发送或者接收信息功能的设备的；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（五）由他人冒名代替参加考试的；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（六）故意销毁试卷、答卷或者考试材料的；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（七）在答卷上填写与本人身份不符的姓名、考号等信息的；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（八）传、接物品或者交换试卷、答卷、草稿纸的；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（九）其他以不正当手段获得或者试图获得试题答案、考试成绩的行为。</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第七条　教育考试机构、考试工作人员在考试过程中或者在考试结束后发现下列行为之一的，应当认定相关的考生实施了考试作弊行为：</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（一）通过伪造证件、证明、档案及其他材料获得考试资格、加分资格和考试成绩的；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（二）评卷过程中被认定为答案雷同的；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（三）考场纪律混乱、考试秩序失控，出现大面积考试作弊现象的；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（四）考试工作人员协助实施作弊行为，事后查实的；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（五）其他应认定为作弊的行为。</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第八条　考生及其他人员应当自觉维护考试秩序，服从考试工作人员的管理，不得有下列扰乱考试秩序的行为：</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（一）故意扰乱考点、考场、评卷场所等考试工作场所秩序；</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（二）拒绝、妨碍考试工作人员履行管理职责；</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（三）威胁、侮辱、诽谤、诬陷或者以其他方式侵害考试工作人员、其他考生合法权益的行为；</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（四）故意损坏考场设施设备；</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（五）其他扰乱考试管理秩序的行为。</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第九条　考生有第五条所列考试违纪行为之一的，取消该科目的考试成绩。</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考生有第六条、第七条所列考试作弊行为之一的，其所报名参加考试的各阶段、各科成绩无效；参加高等教育自学考试的，当次考试各科成绩无效。</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有下列情形之一的，可以视情节轻重，同时给予暂停参加该项考试1至3年的处理；情节特别严重的，可以同时给予暂停参加各种国家教育考试1至3年的处理：</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（一）组织团伙作弊的；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（二）向考场外发送、传递试题信息的；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（三）使用相关设备接收信息实施作弊的；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（四）伪造、变造身份证、准考证及其他证明材料，由他人代替或者代替考生参加考试的。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参加高等教育自学考试的考生有前款严重作弊行为的，也可以给予延迟毕业时间1至3年的处理，延迟期间考试成绩无效。</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第十条　考生有第八条所列行为之一的，应当终止其继续参加本科目考试，其当次报名参加考试的各科成绩无效；考生及其他人员的行为违反《中华人民共和国治安管理处罚法》的，由公安机关进行处理；构成犯罪的，由司法机关依法追究刑事责任。</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第十二条　在校学生、在职教师有下列情形之一的，教育考试机构应当通报其所在学校，由学校根据有关规定严肃处理，直至开除学籍或者予以解聘：</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（一）代替考生或者由他人代替参加考试的；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（二）组织团伙作弊的；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（三）为作弊组织者提供试题信息、答案及相应设备等参与团伙作弊行为的。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第十三条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（一）应回避考试工作却隐瞒不报的；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（二）擅自变更考试时间、地点或者考试安排的；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（三）提示或暗示考生答题的；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（四）擅自将试题、答卷或者有关内容带出考场或者传递给他人的；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（五）未认真履行职责，造成所负责考场出现秩序混乱、作弊严重或者视频录像资料损毁、视频系统不能正常工作的；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（六）在评卷、统分中严重失职，造成明显的错评、漏评或者积分差错的；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（七）在评卷中擅自更改评分细则或者不按评分细则进行评卷的；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（八）因未认真履行职责，造成所负责考场出现雷同卷的；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（九）擅自泄露评卷、统分等应予保密的情况的；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（十）其他违反监考、评卷等管理规定的行为。</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第十四条　考试工作人员有下列作弊行为之一的，应当停止其参加国家教育考试工作，由教育考试机构或者其所在单位视情节轻重分别给予相应的行政处分，并调离考试工作岗位；情节严重，构成犯罪的，由司法机关依法追究刑事责任：</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（一）为不具备参加国家教育考试条件的人员提供假证明、证件、档案，使其取得考试资格或者考试工作人员资格的；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（二）因玩忽职守，致使考生未能如期参加考试的或者使考试工作遭受重大损失的；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（三）利用监考或者从事考试工作之便，为考生作弊提供条件的；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（四）伪造、变造考生档案（含电子档案）的；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（五）在场外组织答卷、为考生提供答案的；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（六）指使、纵容或者伙同他人作弊的；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（七）偷换、涂改考生答卷、考试成绩或者考场原始记录材料的；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（八）擅自更改或者编造、虚报考试数据、信息的；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（九）利用考试工作便利，索贿、受贿、以权徇私的；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（十）诬陷、打击报复考生的。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第十五条　因教育考试机构管理混乱、考试工作人员玩忽职守，造成考点或者考场纪律混乱，作弊现象严重；或者同一考点同一时间的考试有1/5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1至3年的处理。</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对出现大规模作弊情况的考场、考点的相关责任人、负责人及所属考区的负责人，有关部门应当分别给予相应的行政处分；情节严重，构成犯罪的，由司法机关依法追究刑事责任。</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第十六条　违反保密规定，造成国家教育考试的试题、答案及评分参考（包括副题及其答案及评分参考，下同）丢失、损毁、泄密，或者使考生答卷在保密期限内发生重大事故的，由有关部门视情节轻重，分别给予责任人和有关负责人行政处分；构成犯罪的，由司法机关依法追究刑事责任。</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盗窃、损毁、传播在保密期限内的国家教育考试试题、答案及评分参考、考生答卷、考试成绩的，由有关部门依法追究有关人员的责任；构成犯罪的，由司法机关依法追究刑事责任。</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第十七条　有下列行为之一的，由教育考试机构建议行为人所在单位给予行政处分；违反《中华人民共和国治安管理处罚法》的，由公安机关依法处理；构成犯罪的，由司法机关依法追究刑事责任：</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（一）指使、纵容、授意考试工作人员放松考试纪律，致使考场秩序混乱、作弊严重的；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（二）代替考生或者由他人代替参加国家教育考试的；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（三）组织或者参与团伙作弊的;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（四）利用职权，包庇、掩盖作弊行为或者胁迫他人作弊的；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（五）以打击、报复、诬陷、威胁等手段侵犯考试工作人员、考生人身权利的；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（六）向考试工作人员行贿的；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（七）故意损坏考试设施的；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（八）扰乱、妨害考场、评卷点及有关考试工作场所秩序后果严重的。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国家工作人员有前款行为的，教育考试机构应当建议有关纪检、监察部门，根据有关规定从重处理。</w:t>
      </w:r>
    </w:p>
    <w:p>
      <w:pPr>
        <w:pStyle w:val="9"/>
        <w:shd w:val="clear" w:color="auto" w:fill="FFFFFF"/>
        <w:spacing w:before="0" w:beforeAutospacing="0" w:after="0" w:afterAutospacing="0"/>
        <w:jc w:val="center"/>
        <w:rPr>
          <w:rFonts w:ascii="仿宋" w:hAnsi="仿宋" w:eastAsia="仿宋" w:cs="Tahoma"/>
          <w:sz w:val="28"/>
          <w:szCs w:val="28"/>
        </w:rPr>
      </w:pPr>
      <w:r>
        <w:rPr>
          <w:rStyle w:val="13"/>
          <w:rFonts w:ascii="仿宋" w:hAnsi="仿宋" w:eastAsia="仿宋" w:cs="Tahoma"/>
          <w:sz w:val="28"/>
          <w:szCs w:val="28"/>
        </w:rPr>
        <w:t>第三章　违规行为认定与处理程序</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第十八条　考试工作人员在考试过程中发现考生实施本办法第五条、第六条所列考试违纪、作弊行为的，应当及时予以纠正并如实记录；对考生用于作弊的材料、工具等，应予暂扣。</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考生违规记录作为认定考生违规事实的依据，应当由2名以上监考员或者考场巡视员、督考员签字确认。</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考试工作人员应当向违纪考生告知违规记录的内容，对暂扣的考生物品应填写收据。</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第十九条　教育考试机构发现本办法第七条、第八条所列行为的，应当由2名以上工作人员进行事实调查，收集、保存相应的证据材料，并在调查事实和证据的基础上，对所涉及考生的违规行为进行认定。</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考试工作人员通过视频发现考生有违纪、作弊行为的，应当立即通知在现场的考试工作人员，并应当将视频录像作为证据保存。教育考试机构可以通过视频录像回放，对所涉及考生违规行为进行认定。</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第二十条　考点汇总考生违规记录，汇总情况经考点主考签字认定后，报送上级教育考试机构依据本办法的规定进行处理。</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第二十一条　考生在普通和成人高等学校招生考试、高等教育自学考试中，出现第五条所列考试违纪行为的，由省级教育考试机构或者市级教育考试机构做出处理决定，由市级教育考试机构做出的处理决定应报省级教育考试机构备案；出现第六条、第七条所列考试作弊行为的，由市级教育考试机构签署意见，报省级教育考试机构处理，省级教育考试机构也可以要求市级教育考试机构报送材料及证据，直接进行处理；出现本办法第八条所列扰乱考试秩序行为的，由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市级教育考试机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考生在参加全国硕士研究生招生考试中的违规行为，由组织考试的机构认定，由相关省级教育考试机构或者受其委托的组织考试的机构做出处理决定。</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在国家教育考试考场视频录像回放审查中认定的违规行为，由省级教育考试机构认定并做出处理决定。</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参加其他国家教育考试考生违规行为的处理由承办有关国家教育考试的考试机构参照前款规定具体确定。</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第二十二条　教育行政部门和其他有关部门在考点、考场出现大面积作弊情况或者需要对教育考试机构实施监督的情况下，应当直接介入调查和处理。</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发生第十四、十五、十六条所列案件，情节严重的，由省级教育行政部门会同有关部门共同处理，并及时报告国务院教育行政部门；必要时，国务院教育行政部门参与或者直接进行处理。</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第二十三条　考试工作人员在考场、考点及评卷过程中有违反本办法的行为的，考点主考、评卷点负责人应当暂停其工作，并报相应的教育考试机构处理。</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第二十四条　在其他与考试相关的场所违反有关规定的考生，由市级教育考试机构或者省级教育考试机构做出处理决定；市级教育考试机构做出的处理决定应报省级教育考试机构备案。</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在其他与考试相关的场所违反有关规定的考试工作人员，由所在单位根据市级教育考试机构或者省级教育考试机构提出的处理意见，进行处理，处理结果应当向提出处理的教育考试机构通报。</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第二十五条　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给予考生停考处理的，经考生申请，省级教育考试机构应当举行听证，对作弊的事实、情节等进行审查、核实。</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第二十六条　教育考试机构做出处理决定应当制作考试违规处理决定书，载明被处理人的姓名或者单位名称、处理事实根据和法律依据、处理决定的内容、救济途径以及做出处理决定的机构名称和做出处理决定的时间。</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考试违规处理决定书应当及时送达被处理人。</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第二十七条　考生或者考试工作人员对教育考试机构做出的违规处理决定不服的，可以在收到处理决定之日起15日内，向其上一级教育考试机构提出复核申请；对省级教育考试机构或者承办国家教育考试的机构做出的处理决定不服的，也可以向省级教育行政部门或者授权承担国家教育考试的主管部门提出复核申请。</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第二十八条　受理复核申请的教育考试机构、教育行政部门应对处理决定所认定的违规事实和适用的依据等进行审查，并在受理后30日内，按照下列规定作出复核决定：</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（一）处理决定认定事实清楚、证据确凿，适用依据正确，程序合法，内容适当的，决定维持；</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（二）处理决定有下列情况之一的，决定撤销或者变更：</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1．违规事实认定不清、证据不足的；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2．适用依据错误的；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3．违反本办法规定的处理程序的。</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做出决定的教育考试机构对因错误的处理决定给考生造成的损失，应当予以补救。</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第二十九条　申请人对复核决定或者处理决定不服的，可以依法申请行政复议或者提起行政诉讼。</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第三十条　教育考试机构应当建立国家教育考试考生诚信档案，记录、保留在国家教育考试中作弊人员的相关信息。国家教育考试考生诚信档案中记录的信息未经法定程序，任何组织、个人不得删除、变更。</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国家教育考试考生诚信档案可以依申请接受社会有关方面的查询，并应当及时向招生学校或单位提供相关信息，作为招生参考条件。</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第三十一条　省级教育考试机构应当及时汇总本地区违反规定的考生及考试工作人员的处理情况，并向国家教育考试机构报告。</w:t>
      </w:r>
    </w:p>
    <w:p>
      <w:pPr>
        <w:pStyle w:val="9"/>
        <w:shd w:val="clear" w:color="auto" w:fill="FFFFFF"/>
        <w:spacing w:before="0" w:beforeAutospacing="0" w:after="0" w:afterAutospacing="0"/>
        <w:jc w:val="center"/>
        <w:rPr>
          <w:rFonts w:ascii="仿宋" w:hAnsi="仿宋" w:eastAsia="仿宋" w:cs="Tahoma"/>
          <w:sz w:val="28"/>
          <w:szCs w:val="28"/>
        </w:rPr>
      </w:pPr>
      <w:r>
        <w:rPr>
          <w:rStyle w:val="13"/>
          <w:rFonts w:ascii="仿宋" w:hAnsi="仿宋" w:eastAsia="仿宋" w:cs="Tahoma"/>
          <w:sz w:val="28"/>
          <w:szCs w:val="28"/>
        </w:rPr>
        <w:t>第四章　附则</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第三十二条　本办法所称考场是指实施考试的封闭空间；所称考点是指设置若干考场独立进行考务活动的特定场所；所称考区是指由省级教育考试机构设置，由若干考点组成，进行国家教育考试实施工作的特定地区。</w:t>
      </w:r>
    </w:p>
    <w:p>
      <w:pPr>
        <w:pStyle w:val="9"/>
        <w:shd w:val="clear" w:color="auto" w:fill="FFFFFF"/>
        <w:spacing w:before="0" w:beforeAutospacing="0" w:after="45" w:afterAutospacing="0"/>
        <w:rPr>
          <w:rFonts w:ascii="仿宋" w:hAnsi="仿宋" w:eastAsia="仿宋" w:cs="Tahoma"/>
          <w:sz w:val="28"/>
          <w:szCs w:val="28"/>
        </w:rPr>
      </w:pPr>
      <w:r>
        <w:rPr>
          <w:rFonts w:ascii="仿宋" w:hAnsi="仿宋" w:eastAsia="仿宋" w:cs="Tahoma"/>
          <w:sz w:val="28"/>
          <w:szCs w:val="28"/>
        </w:rPr>
        <w:t>　　第三十三条　非全日制攻读硕士学位全国考试、中国人民解放军高等教育自学考试及其他各级各类教育考试的违规处理可以参照本办法执行。</w:t>
      </w:r>
    </w:p>
    <w:p>
      <w:pPr>
        <w:pStyle w:val="9"/>
        <w:shd w:val="clear" w:color="auto" w:fill="FFFFFF"/>
        <w:spacing w:before="0" w:beforeAutospacing="0" w:after="45" w:afterAutospacing="0"/>
        <w:rPr>
          <w:rFonts w:ascii="仿宋" w:hAnsi="仿宋" w:eastAsia="仿宋"/>
          <w:sz w:val="28"/>
          <w:szCs w:val="28"/>
        </w:rPr>
      </w:pPr>
      <w:r>
        <w:rPr>
          <w:rFonts w:ascii="仿宋" w:hAnsi="仿宋" w:eastAsia="仿宋" w:cs="Tahoma"/>
          <w:sz w:val="28"/>
          <w:szCs w:val="28"/>
        </w:rPr>
        <w:t>　　第三十四条　本办法自发布之日起施行。此前教育部颁布的各有关国家教育考试的违规处理规定同时废止。</w:t>
      </w:r>
      <w:r>
        <w:rPr>
          <w:rFonts w:ascii="仿宋" w:hAnsi="仿宋" w:eastAsia="仿宋"/>
          <w:sz w:val="28"/>
          <w:szCs w:val="28"/>
        </w:rPr>
        <w:br w:type="page"/>
      </w:r>
    </w:p>
    <w:p>
      <w:pPr>
        <w:pStyle w:val="9"/>
        <w:shd w:val="clear" w:color="auto" w:fill="FFFFFF"/>
        <w:spacing w:before="0" w:beforeAutospacing="0" w:after="0" w:afterAutospacing="0" w:line="182" w:lineRule="atLeast"/>
        <w:ind w:firstLine="212"/>
        <w:jc w:val="center"/>
        <w:rPr>
          <w:rFonts w:ascii="仿宋" w:hAnsi="仿宋" w:eastAsia="仿宋" w:cs="Arial"/>
          <w:sz w:val="32"/>
          <w:szCs w:val="32"/>
        </w:rPr>
      </w:pPr>
      <w:r>
        <w:rPr>
          <w:rStyle w:val="13"/>
          <w:rFonts w:hint="eastAsia" w:ascii="仿宋" w:hAnsi="仿宋" w:eastAsia="仿宋" w:cs="Arial"/>
          <w:sz w:val="32"/>
          <w:szCs w:val="32"/>
        </w:rPr>
        <w:t>普通高等学校招生违规行为处理暂行办法(36号令)</w:t>
      </w:r>
    </w:p>
    <w:p>
      <w:pPr>
        <w:pStyle w:val="9"/>
        <w:shd w:val="clear" w:color="auto" w:fill="FFFFFF"/>
        <w:spacing w:before="0" w:beforeAutospacing="0" w:after="0" w:afterAutospacing="0" w:line="205" w:lineRule="atLeast"/>
        <w:ind w:firstLine="212"/>
        <w:rPr>
          <w:rFonts w:ascii="仿宋" w:hAnsi="仿宋" w:eastAsia="仿宋" w:cs="Arial"/>
          <w:sz w:val="28"/>
          <w:szCs w:val="28"/>
        </w:rPr>
      </w:pPr>
    </w:p>
    <w:p>
      <w:pPr>
        <w:pStyle w:val="9"/>
        <w:shd w:val="clear" w:color="auto" w:fill="FFFFFF"/>
        <w:spacing w:before="0" w:beforeAutospacing="0" w:after="0" w:afterAutospacing="0" w:line="205" w:lineRule="atLeast"/>
        <w:ind w:firstLine="212"/>
        <w:jc w:val="center"/>
        <w:rPr>
          <w:rFonts w:ascii="仿宋" w:hAnsi="仿宋" w:eastAsia="仿宋" w:cs="Arial"/>
          <w:sz w:val="28"/>
          <w:szCs w:val="28"/>
        </w:rPr>
      </w:pPr>
      <w:r>
        <w:rPr>
          <w:rStyle w:val="13"/>
          <w:rFonts w:hint="eastAsia" w:ascii="仿宋" w:hAnsi="仿宋" w:eastAsia="仿宋" w:cs="Arial"/>
          <w:sz w:val="28"/>
          <w:szCs w:val="28"/>
        </w:rPr>
        <w:t>第一章 总则</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第一条　为规范对普通高等学校招生违规行为的处理，保证招生公开、公平、公正，根据《中华人民共和国教育法》《中华人民共和国高等教育法》等法律法规，制定本办法。</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第二条　本办法所称普通高等学校（以下简称高校）招生，是指高校通过国家教育考试或者国家认可的入学方式选拔录取本科、专科学生的活动。</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高校、高级中等学校（含中等职业学校，以下简称高中）、招生考试机构、主管教育行政部门及其招生工作人员、考生等，在高校招生工作过程中，违反国家有关教育法律法规和国家高等教育招生管理规定的行为认定及处理，适用本办法。</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第三条　国务院教育行政部门主管全国高校招生工作。</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县级以上各级人民政府教育行政部门按照职责分工，依法处理各类违反国家高等教育招生管理制度的行为。</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国务院有关主管部门在职责范围内加强对所属高校招生的监督管理。</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第四条　高校招生应当遵循公开、公平、公正原则，接受考生、社会的监督。</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高校招生接受监察部门的监督。</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第五条 对高校招生违规行为的处理，应当事实清楚、证据确凿、依据明确、程序合法、处理适当。</w:t>
      </w:r>
    </w:p>
    <w:p>
      <w:pPr>
        <w:pStyle w:val="9"/>
        <w:shd w:val="clear" w:color="auto" w:fill="FFFFFF"/>
        <w:spacing w:before="0" w:beforeAutospacing="0" w:after="0" w:afterAutospacing="0" w:line="205" w:lineRule="atLeast"/>
        <w:ind w:firstLine="212"/>
        <w:rPr>
          <w:rFonts w:ascii="仿宋" w:hAnsi="仿宋" w:eastAsia="仿宋" w:cs="Arial"/>
          <w:sz w:val="28"/>
          <w:szCs w:val="28"/>
        </w:rPr>
      </w:pPr>
    </w:p>
    <w:p>
      <w:pPr>
        <w:pStyle w:val="9"/>
        <w:shd w:val="clear" w:color="auto" w:fill="FFFFFF"/>
        <w:spacing w:before="0" w:beforeAutospacing="0" w:after="0" w:afterAutospacing="0" w:line="205" w:lineRule="atLeast"/>
        <w:ind w:firstLine="212"/>
        <w:rPr>
          <w:rFonts w:ascii="仿宋" w:hAnsi="仿宋" w:eastAsia="仿宋" w:cs="Arial"/>
          <w:sz w:val="28"/>
          <w:szCs w:val="28"/>
        </w:rPr>
      </w:pPr>
    </w:p>
    <w:p>
      <w:pPr>
        <w:pStyle w:val="9"/>
        <w:shd w:val="clear" w:color="auto" w:fill="FFFFFF"/>
        <w:spacing w:before="0" w:beforeAutospacing="0" w:after="0" w:afterAutospacing="0" w:line="205" w:lineRule="atLeast"/>
        <w:ind w:firstLine="212"/>
        <w:jc w:val="center"/>
        <w:rPr>
          <w:rFonts w:ascii="仿宋" w:hAnsi="仿宋" w:eastAsia="仿宋" w:cs="Arial"/>
          <w:sz w:val="28"/>
          <w:szCs w:val="28"/>
        </w:rPr>
      </w:pPr>
      <w:r>
        <w:rPr>
          <w:rStyle w:val="13"/>
          <w:rFonts w:hint="eastAsia" w:ascii="仿宋" w:hAnsi="仿宋" w:eastAsia="仿宋" w:cs="Arial"/>
          <w:sz w:val="28"/>
          <w:szCs w:val="28"/>
        </w:rPr>
        <w:t>第二章 违规行为认定及处理</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第六条　高校违反国家招生管理规定，有下列情形之一的，由主管教育行政部门责令限期改正，给予警告或者通报批评；情节严重的，给予减少招生计划、暂停特殊类型招生试点项目或者依法给予停止招生的处理。对直接负责的主管人员和其他直接责任人员，视情节轻重依法给予相应处分；涉嫌犯罪的，依法移送司法机关处理。</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（一）发布违反国家规定的招生简章，或者进行虚假宣传、骗取钱财的；</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（二）未按照信息公开的规定公开招生信息的；</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（三）超出核定办学规模招生或者擅自调整招生计划的；</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（四）违反规定降低标准录取考生或者拒绝录取符合条件的考生的；</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（五）在特殊类型招生中出台违反国家规定的报考条件，或者弄虚作假、徇私舞弊，录取不符合条件的考生的；</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（六）违规委托中介机构进行招生录取，或者以承诺录取为名向考生收取费用的；</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（七）其他违反国家招生管理规定的行为。</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第七条　高中有下列情形之一的，由主管教育行政部门责令限期改正，给予警告或者通报批评。对直接负责的主管人员和其他直接责任人员，视情节轻重依法给予相应处分；涉嫌犯罪的，依法移送司法机关处理。</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（一）未按照规定的标准和程序，以照顾特定考生为目的，滥用推荐评价权力的；</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（二）未按规定公示享受优惠政策的考生名单、各类推荐考生的名额、名单及相关证明材料的；</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（三）在考生报名、推荐等工作过程中出具与事实不符的成绩单、推荐材料、证明材料等虚假材料，在学生综合素质档案中虚构事实或者故意隐瞒事实的；</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（四）违规办理学籍档案、违背考生意愿为考生填报志愿或者有偿推荐、组织生源的；</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（五）其他违反国家招生管理规定的行为。</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第八条　招生考试机构违反国家招生管理规定，有下列情形之一的，由主管教育行政部门责令限期改正，给予警告或者通报批评。对直接负责的主管人员和其他直接责任人员，视情节轻重依法给予相应处分；涉嫌犯罪的，依法移送司法机关处理。</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（一）为高校擅自超计划招生办理录取手续的；</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（二）对降低标准违规录取考生进行投档的；</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（三）违反录取程序投档操作的；</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（四）在招生结束后违规补录的；</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（五）未按照信息公开的规定公开招生工作信息的；</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（六）对高校录取工作监督不力、造成严重不良后果的；</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（七）其他违反国家招生管理规定的行为。</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第九条　省级教育行政部门违反有关管理职责，有下列情形之一的，由国务院教育行政部门责令限期改正，并可给予通报批评。对直接负责的主管人员和其他直接责任人员，由有关主管部门依法给予处分；涉嫌犯罪的，依法移送司法机关处理。</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（一）出台与国家招生政策相抵触的招生规定或者超越职权制定招生优惠政策的；</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（二）擅自扩大国家核定的招生规模和追加招生计划，擅自改变招生计划类型的；</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（三）要求招生考试机构和高校违规录取考生的；</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（四）对高校和招生考试机构招生工作监管不力、造成严重不良后果的；</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（五）其他违反国家招生管理规定的行为。</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第十条　招生工作人员有下列情形之一的，其所在单位应当立即责令暂停其负责的招生工作，由有关部门视情节轻重依法给予相应处分或者其他处理；涉嫌犯罪的，依法移送司法机关处理。</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（一）违规更改考生报名、志愿、资格、分数、录取等信息的；</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（二）对已录取考生违规变更录取学校或者专业的；</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（三）在特殊类型招生中泄露面试考核考官名单或者利用职务便利请托考核评价的教师，照顾特定考生的；</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（四）泄露尚未公布的考生成绩、考生志愿、录取分数线等可能影响录取公正信息的，或者对外泄露、倒卖考生个人信息的；</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（五）为考生获得相关招生资格弄虚作假、徇私舞弊的；</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（六）违反回避制度，应当回避而没有回避的；</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（七）索取或收受考生及家长财物，接受宴请等可能影响公正履职活动安排的；</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（八）参与社会中介机构或者个人非法招生活动的；</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（九）其他影响高校招生公平、公正的行为。</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第十一条　考生有下列情形之一的，应当如实记入其考试诚信档案。下列行为在报名阶段发现的，取消报考资格；在入学前发现的，取消入学资格；入学后发现的，取消录取资格或者学籍；毕业后发现的，由教育行政部门宣布学历、学位证书无效，责令收回或者予以没收；涉嫌犯罪的，依法移送司法机关处理。</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（一）提供虚假姓名、年龄、民族、户籍等个人信息，伪造、非法获得证件、成绩证明、荣誉证书等，骗取报名资格、享受优惠政策的；</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（二）在综合素质评价、相关申请材料中提供虚假材料、影响录取结果的；</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（三）冒名顶替入学，由他人替考入学或者取得优惠资格的；</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（四）其他严重违反高校招生规定的弄虚作假行为。</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违反国家教育考试规定、情节严重受到停考处罚，在处罚结束后继续报名参加国家教育考试的，由学校决定是否予以录取。</w:t>
      </w:r>
    </w:p>
    <w:p>
      <w:pPr>
        <w:pStyle w:val="9"/>
        <w:shd w:val="clear" w:color="auto" w:fill="FFFFFF"/>
        <w:spacing w:before="0" w:beforeAutospacing="0" w:after="0" w:afterAutospacing="0" w:line="205" w:lineRule="atLeast"/>
        <w:ind w:firstLine="212"/>
        <w:jc w:val="center"/>
        <w:rPr>
          <w:rFonts w:ascii="仿宋" w:hAnsi="仿宋" w:eastAsia="仿宋" w:cs="Arial"/>
          <w:sz w:val="28"/>
          <w:szCs w:val="28"/>
        </w:rPr>
      </w:pPr>
      <w:r>
        <w:rPr>
          <w:rStyle w:val="13"/>
          <w:rFonts w:hint="eastAsia" w:ascii="仿宋" w:hAnsi="仿宋" w:eastAsia="仿宋" w:cs="Arial"/>
          <w:sz w:val="28"/>
          <w:szCs w:val="28"/>
        </w:rPr>
        <w:t>第三章 招生责任制及责任追究</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第十二条　实行高校招生工作问责制。高校校长、招生考试机构主要负责人、教育行政部门主要负责人是招生工作的第一责任人，对本校、本部门、本地区的招生工作负全面领导责任。</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在招生工作中，因违规行为造成严重后果和恶劣影响的，除追究直接负责人的责任外，还应当根据领导干部问责的相关规定，对有关责任人实行问责。</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第十三条　对在高校招生工作中违规人员的处理，由有权查处的部门按照管理权限，依据《中华人民共和国行政监察法》《行政机关公务员处分条例》《事业单位工作人员处分暂行规定》等相关规定，依法予以监察处理、作出处分决定或者给予其他处理。</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第十四条 高校招生工作以外的其他人员违规插手、干预招生工作，影响公平公正、造成严重影响和后果的，相关案件线索移送纪检监察机关或者司法机关查处。</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第十五条　出现本办法第二章规定的违规情形的，有关主管部门应当立即启动相关程序，进行调查处理。情节严重、影响恶劣或者案情复杂、社会影响大的，应当及时上报，必要时由国务院教育行政部门参与或者直接进行处理。</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第十六条 对有关责任人员违规行为的处理，应当按照国家规定的程序进行。对有关责任人员和考生的违规行为调查和收集证据，应当有2名以上工作人员。作出处理决定之前，应当听取当事人的陈述和申辩。</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第十七条 对处理决定不服的有关责任人员和考生，可以按照国家有关规定提出复核或者申诉；符合法律规定受案范围的，可以依法提起行政复议或者诉讼。</w:t>
      </w:r>
    </w:p>
    <w:p>
      <w:pPr>
        <w:pStyle w:val="9"/>
        <w:shd w:val="clear" w:color="auto" w:fill="FFFFFF"/>
        <w:spacing w:before="0" w:beforeAutospacing="0" w:after="0" w:afterAutospacing="0" w:line="205" w:lineRule="atLeast"/>
        <w:ind w:firstLine="212"/>
        <w:jc w:val="center"/>
        <w:rPr>
          <w:rFonts w:ascii="仿宋" w:hAnsi="仿宋" w:eastAsia="仿宋" w:cs="Arial"/>
          <w:sz w:val="28"/>
          <w:szCs w:val="28"/>
        </w:rPr>
      </w:pPr>
      <w:r>
        <w:rPr>
          <w:rStyle w:val="13"/>
          <w:rFonts w:hint="eastAsia" w:ascii="仿宋" w:hAnsi="仿宋" w:eastAsia="仿宋" w:cs="Arial"/>
          <w:sz w:val="28"/>
          <w:szCs w:val="28"/>
        </w:rPr>
        <w:t>第四章　附　则</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第十八条　本办法所称特殊类型招生，是指自主选拔录取、艺术类专业、体育类专业、保送生等类型的高校招生。</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第十九条　研究生招生、成人高校招生有关违规行为的处理，参照本办法执行。</w:t>
      </w:r>
    </w:p>
    <w:p>
      <w:pPr>
        <w:pStyle w:val="9"/>
        <w:shd w:val="clear" w:color="auto" w:fill="FFFFFF"/>
        <w:spacing w:before="0" w:beforeAutospacing="0" w:after="0" w:afterAutospacing="0" w:line="205" w:lineRule="atLeast"/>
        <w:ind w:firstLine="212"/>
        <w:rPr>
          <w:rFonts w:ascii="仿宋" w:hAnsi="仿宋" w:eastAsia="仿宋" w:cs="Arial"/>
          <w:sz w:val="28"/>
          <w:szCs w:val="28"/>
        </w:rPr>
      </w:pPr>
      <w:r>
        <w:rPr>
          <w:rFonts w:hint="eastAsia" w:ascii="仿宋" w:hAnsi="仿宋" w:eastAsia="仿宋" w:cs="Arial"/>
          <w:sz w:val="28"/>
          <w:szCs w:val="28"/>
        </w:rPr>
        <w:t>　　第二十条　本办法自发布之日起施行。</w:t>
      </w:r>
      <w:r>
        <w:rPr>
          <w:rFonts w:ascii="仿宋" w:hAnsi="仿宋" w:eastAsia="仿宋" w:cs="Arial"/>
          <w:sz w:val="28"/>
          <w:szCs w:val="28"/>
        </w:rPr>
        <w:br w:type="page"/>
      </w:r>
    </w:p>
    <w:p>
      <w:pPr>
        <w:pStyle w:val="9"/>
        <w:shd w:val="clear" w:color="auto" w:fill="FFFFFF"/>
        <w:spacing w:before="0" w:beforeAutospacing="0" w:after="0" w:afterAutospacing="0" w:line="205" w:lineRule="atLeast"/>
        <w:ind w:firstLine="212"/>
        <w:jc w:val="center"/>
        <w:rPr>
          <w:rFonts w:ascii="仿宋" w:hAnsi="仿宋" w:eastAsia="仿宋" w:cs="Arial"/>
          <w:b/>
          <w:sz w:val="32"/>
          <w:szCs w:val="32"/>
        </w:rPr>
      </w:pPr>
      <w:r>
        <w:rPr>
          <w:rFonts w:ascii="仿宋" w:hAnsi="仿宋" w:eastAsia="仿宋" w:cs="Arial"/>
          <w:b/>
          <w:sz w:val="32"/>
          <w:szCs w:val="32"/>
        </w:rPr>
        <w:t>中华人民共和国刑法修正案（九）</w:t>
      </w:r>
      <w:r>
        <w:rPr>
          <w:rFonts w:hint="eastAsia" w:ascii="仿宋" w:hAnsi="仿宋" w:eastAsia="仿宋" w:cs="Arial"/>
          <w:b/>
          <w:sz w:val="32"/>
          <w:szCs w:val="32"/>
        </w:rPr>
        <w:t>中违规处理内容</w:t>
      </w:r>
    </w:p>
    <w:p>
      <w:pPr>
        <w:pStyle w:val="9"/>
        <w:shd w:val="clear" w:color="auto" w:fill="FFFFFF"/>
        <w:spacing w:before="0" w:beforeAutospacing="0" w:after="0" w:afterAutospacing="0" w:line="205" w:lineRule="atLeast"/>
        <w:ind w:firstLine="212"/>
        <w:rPr>
          <w:rFonts w:ascii="仿宋" w:hAnsi="仿宋" w:eastAsia="仿宋" w:cs="Arial"/>
          <w:sz w:val="28"/>
          <w:szCs w:val="28"/>
        </w:rPr>
      </w:pPr>
    </w:p>
    <w:p>
      <w:pPr>
        <w:pStyle w:val="9"/>
        <w:shd w:val="clear" w:color="auto" w:fill="FFFFFF"/>
        <w:spacing w:before="0" w:beforeAutospacing="0" w:after="0" w:afterAutospacing="0" w:line="205" w:lineRule="atLeast"/>
        <w:ind w:firstLine="560" w:firstLineChars="200"/>
        <w:rPr>
          <w:rFonts w:ascii="仿宋" w:hAnsi="仿宋" w:eastAsia="仿宋" w:cs="Arial"/>
          <w:sz w:val="28"/>
          <w:szCs w:val="28"/>
        </w:rPr>
      </w:pPr>
      <w:r>
        <w:rPr>
          <w:rFonts w:hint="eastAsia" w:ascii="仿宋" w:hAnsi="仿宋" w:eastAsia="仿宋" w:cs="Arial"/>
          <w:sz w:val="28"/>
          <w:szCs w:val="28"/>
        </w:rPr>
        <w:t>刑法第二百八十四条之一：</w:t>
      </w:r>
    </w:p>
    <w:p>
      <w:pPr>
        <w:pStyle w:val="9"/>
        <w:shd w:val="clear" w:color="auto" w:fill="FFFFFF"/>
        <w:spacing w:before="0" w:beforeAutospacing="0" w:after="0" w:afterAutospacing="0" w:line="205" w:lineRule="atLeast"/>
        <w:ind w:firstLine="560" w:firstLineChars="200"/>
        <w:rPr>
          <w:rFonts w:ascii="仿宋" w:hAnsi="仿宋" w:eastAsia="仿宋" w:cs="Arial"/>
          <w:sz w:val="28"/>
          <w:szCs w:val="28"/>
        </w:rPr>
      </w:pPr>
      <w:r>
        <w:rPr>
          <w:rFonts w:hint="eastAsia" w:ascii="仿宋" w:hAnsi="仿宋" w:eastAsia="仿宋" w:cs="Arial"/>
          <w:sz w:val="28"/>
          <w:szCs w:val="28"/>
        </w:rPr>
        <w:t>在法律规定的国家考试中，组织作弊的，处三年以下有期徒刑或者拘役，并处或者单处罚金；情节严重的，处三年以上七年以下有期徒刑，并处罚金。 “为他人实施前款犯罪提供作弊器材或者其他帮助的，依照前款的规定处罚。</w:t>
      </w:r>
    </w:p>
    <w:p>
      <w:pPr>
        <w:pStyle w:val="9"/>
        <w:shd w:val="clear" w:color="auto" w:fill="FFFFFF"/>
        <w:spacing w:before="0" w:beforeAutospacing="0" w:after="0" w:afterAutospacing="0" w:line="205" w:lineRule="atLeast"/>
        <w:ind w:firstLine="560" w:firstLineChars="200"/>
        <w:rPr>
          <w:rFonts w:ascii="仿宋" w:hAnsi="仿宋" w:eastAsia="仿宋" w:cs="Arial"/>
          <w:sz w:val="28"/>
          <w:szCs w:val="28"/>
        </w:rPr>
      </w:pPr>
      <w:r>
        <w:rPr>
          <w:rFonts w:hint="eastAsia" w:ascii="仿宋" w:hAnsi="仿宋" w:eastAsia="仿宋" w:cs="Arial"/>
          <w:sz w:val="28"/>
          <w:szCs w:val="28"/>
        </w:rPr>
        <w:t>为实施考试作弊行为，向他人非法出售或者提供第一款规定的考试的试题、答案的，依照第一款的规定处罚。</w:t>
      </w:r>
    </w:p>
    <w:p>
      <w:pPr>
        <w:pStyle w:val="9"/>
        <w:shd w:val="clear" w:color="auto" w:fill="FFFFFF"/>
        <w:spacing w:before="0" w:beforeAutospacing="0" w:after="0" w:afterAutospacing="0" w:line="205" w:lineRule="atLeast"/>
        <w:ind w:firstLine="560" w:firstLineChars="200"/>
        <w:rPr>
          <w:rFonts w:ascii="仿宋" w:hAnsi="仿宋" w:eastAsia="仿宋" w:cs="Arial"/>
          <w:sz w:val="28"/>
          <w:szCs w:val="28"/>
        </w:rPr>
      </w:pPr>
      <w:r>
        <w:rPr>
          <w:rFonts w:hint="eastAsia" w:ascii="仿宋" w:hAnsi="仿宋" w:eastAsia="仿宋" w:cs="Arial"/>
          <w:sz w:val="28"/>
          <w:szCs w:val="28"/>
        </w:rPr>
        <w:t>代替他人或者让他人代替自己参加第一款规定的考试的，处拘役或者管制，并处或者单处罚金。</w:t>
      </w:r>
    </w:p>
    <w:p>
      <w:pPr>
        <w:pStyle w:val="9"/>
        <w:shd w:val="clear" w:color="auto" w:fill="FFFFFF"/>
        <w:spacing w:before="0" w:beforeAutospacing="0" w:after="0" w:afterAutospacing="0" w:line="205" w:lineRule="atLeast"/>
        <w:ind w:firstLine="212"/>
        <w:rPr>
          <w:rFonts w:cs="Arial"/>
          <w:sz w:val="28"/>
          <w:szCs w:val="28"/>
        </w:rPr>
      </w:pPr>
    </w:p>
    <w:p>
      <w:pPr>
        <w:pStyle w:val="9"/>
        <w:shd w:val="clear" w:color="auto" w:fill="FFFFFF"/>
        <w:spacing w:before="0" w:beforeAutospacing="0" w:after="0" w:afterAutospacing="0" w:line="205" w:lineRule="atLeast"/>
        <w:ind w:firstLine="212"/>
        <w:rPr>
          <w:rFonts w:cs="Arial"/>
          <w:sz w:val="12"/>
          <w:szCs w:val="12"/>
        </w:rPr>
      </w:pPr>
      <w:r>
        <w:rPr>
          <w:rFonts w:cs="Arial"/>
          <w:sz w:val="12"/>
          <w:szCs w:val="12"/>
        </w:rPr>
        <w:br w:type="page"/>
      </w:r>
    </w:p>
    <w:p>
      <w:pPr>
        <w:spacing w:line="560" w:lineRule="exact"/>
        <w:jc w:val="center"/>
        <w:rPr>
          <w:rFonts w:ascii="仿宋" w:hAnsi="仿宋" w:eastAsia="仿宋"/>
          <w:b/>
          <w:sz w:val="32"/>
          <w:szCs w:val="32"/>
        </w:rPr>
      </w:pPr>
      <w:r>
        <w:rPr>
          <w:rFonts w:hint="eastAsia" w:ascii="仿宋" w:hAnsi="仿宋" w:eastAsia="仿宋"/>
          <w:b/>
          <w:sz w:val="32"/>
          <w:szCs w:val="32"/>
        </w:rPr>
        <w:t>三峡大学2021年硕士研究生复试考生诚信承诺书</w:t>
      </w:r>
    </w:p>
    <w:p>
      <w:pPr>
        <w:spacing w:line="560" w:lineRule="exact"/>
        <w:jc w:val="center"/>
        <w:rPr>
          <w:rFonts w:ascii="仿宋" w:hAnsi="仿宋" w:eastAsia="仿宋"/>
          <w:sz w:val="30"/>
          <w:szCs w:val="30"/>
        </w:rPr>
      </w:pPr>
    </w:p>
    <w:p>
      <w:pPr>
        <w:pStyle w:val="9"/>
        <w:shd w:val="clear" w:color="auto" w:fill="FFFFFF"/>
        <w:spacing w:before="0" w:beforeAutospacing="0" w:after="0" w:afterAutospacing="0" w:line="205" w:lineRule="atLeast"/>
        <w:ind w:firstLine="560" w:firstLineChars="200"/>
        <w:rPr>
          <w:rFonts w:ascii="仿宋" w:hAnsi="仿宋" w:eastAsia="仿宋" w:cs="Arial"/>
          <w:sz w:val="28"/>
          <w:szCs w:val="28"/>
        </w:rPr>
      </w:pPr>
      <w:r>
        <w:rPr>
          <w:rFonts w:hint="eastAsia" w:ascii="仿宋" w:hAnsi="仿宋" w:eastAsia="仿宋" w:cs="Arial"/>
          <w:sz w:val="28"/>
          <w:szCs w:val="28"/>
        </w:rPr>
        <w:t>我自愿参加三峡大学2021年硕士研究生复试，清楚了解此次考试为法律规定的国家教育考试，我郑重承诺：</w:t>
      </w:r>
    </w:p>
    <w:p>
      <w:pPr>
        <w:pStyle w:val="9"/>
        <w:shd w:val="clear" w:color="auto" w:fill="FFFFFF"/>
        <w:spacing w:before="0" w:beforeAutospacing="0" w:after="0" w:afterAutospacing="0" w:line="205" w:lineRule="atLeast"/>
        <w:ind w:firstLine="560" w:firstLineChars="200"/>
        <w:rPr>
          <w:rFonts w:ascii="仿宋" w:hAnsi="仿宋" w:eastAsia="仿宋" w:cs="Arial"/>
          <w:sz w:val="28"/>
          <w:szCs w:val="28"/>
        </w:rPr>
      </w:pPr>
      <w:r>
        <w:rPr>
          <w:rFonts w:hint="eastAsia" w:ascii="仿宋" w:hAnsi="仿宋" w:eastAsia="仿宋" w:cs="Arial"/>
          <w:sz w:val="28"/>
          <w:szCs w:val="28"/>
        </w:rPr>
        <w:t>1.本人已阅读知悉《国家教育考试违规处理办法》、《普通高等学校招生违规行为处理暂行办法》、《中华人民共和国刑法修正案》（九）中违规处理的内容，知悉三峡大学计算机与信息学院考生须知及相关纪律要求，并保证严格遵守考试纪律和考试规定，认真完成复试。</w:t>
      </w:r>
    </w:p>
    <w:p>
      <w:pPr>
        <w:pStyle w:val="9"/>
        <w:shd w:val="clear" w:color="auto" w:fill="FFFFFF"/>
        <w:spacing w:before="0" w:beforeAutospacing="0" w:after="0" w:afterAutospacing="0" w:line="205" w:lineRule="atLeast"/>
        <w:ind w:firstLine="560" w:firstLineChars="200"/>
        <w:rPr>
          <w:rFonts w:ascii="仿宋" w:hAnsi="仿宋" w:eastAsia="仿宋" w:cs="Arial"/>
          <w:sz w:val="28"/>
          <w:szCs w:val="28"/>
        </w:rPr>
      </w:pPr>
      <w:r>
        <w:rPr>
          <w:rFonts w:hint="eastAsia" w:ascii="仿宋" w:hAnsi="仿宋" w:eastAsia="仿宋" w:cs="Arial"/>
          <w:sz w:val="28"/>
          <w:szCs w:val="28"/>
        </w:rPr>
        <w:t>2.本人承诺本次考试完全由本人独立完成，接受三峡大学复试规则，在规定时间内按规定程序参加复试。保证不持有、不录制、不存储、不传播任何与考试相关的音视频。</w:t>
      </w:r>
    </w:p>
    <w:p>
      <w:pPr>
        <w:pStyle w:val="9"/>
        <w:shd w:val="clear" w:color="auto" w:fill="FFFFFF"/>
        <w:spacing w:before="0" w:beforeAutospacing="0" w:after="0" w:afterAutospacing="0" w:line="205" w:lineRule="atLeast"/>
        <w:ind w:firstLine="560" w:firstLineChars="200"/>
        <w:rPr>
          <w:rFonts w:ascii="仿宋" w:hAnsi="仿宋" w:eastAsia="仿宋" w:cs="Arial"/>
          <w:sz w:val="28"/>
          <w:szCs w:val="28"/>
        </w:rPr>
      </w:pPr>
      <w:r>
        <w:rPr>
          <w:rFonts w:hint="eastAsia" w:ascii="仿宋" w:hAnsi="仿宋" w:eastAsia="仿宋" w:cs="Arial"/>
          <w:sz w:val="28"/>
          <w:szCs w:val="28"/>
        </w:rPr>
        <w:t>3.本人承诺所提供的所有个人信息、材料是真实有效、准确无误的。</w:t>
      </w:r>
    </w:p>
    <w:p>
      <w:pPr>
        <w:pStyle w:val="9"/>
        <w:shd w:val="clear" w:color="auto" w:fill="FFFFFF"/>
        <w:spacing w:before="0" w:beforeAutospacing="0" w:after="0" w:afterAutospacing="0" w:line="205" w:lineRule="atLeast"/>
        <w:ind w:firstLine="560" w:firstLineChars="200"/>
        <w:rPr>
          <w:rFonts w:ascii="仿宋" w:hAnsi="仿宋" w:eastAsia="仿宋" w:cs="Arial"/>
          <w:sz w:val="28"/>
          <w:szCs w:val="28"/>
        </w:rPr>
      </w:pPr>
      <w:r>
        <w:rPr>
          <w:rFonts w:hint="eastAsia" w:ascii="仿宋" w:hAnsi="仿宋" w:eastAsia="仿宋" w:cs="Arial"/>
          <w:sz w:val="28"/>
          <w:szCs w:val="28"/>
        </w:rPr>
        <w:t xml:space="preserve">如有违反以上承诺行为，本人愿意承担完全责任，自愿接受三峡大学处理决定和由此产生的一切后果。          </w:t>
      </w:r>
    </w:p>
    <w:p>
      <w:pPr>
        <w:pStyle w:val="9"/>
        <w:shd w:val="clear" w:color="auto" w:fill="FFFFFF"/>
        <w:spacing w:before="0" w:beforeAutospacing="0" w:after="0" w:afterAutospacing="0" w:line="205" w:lineRule="atLeast"/>
        <w:ind w:firstLine="560" w:firstLineChars="200"/>
        <w:rPr>
          <w:rFonts w:ascii="仿宋" w:hAnsi="仿宋" w:eastAsia="仿宋" w:cs="Arial"/>
          <w:sz w:val="28"/>
          <w:szCs w:val="28"/>
        </w:rPr>
      </w:pPr>
    </w:p>
    <w:p>
      <w:pPr>
        <w:pStyle w:val="9"/>
        <w:shd w:val="clear" w:color="auto" w:fill="FFFFFF"/>
        <w:spacing w:before="0" w:beforeAutospacing="0" w:after="0" w:afterAutospacing="0" w:line="205" w:lineRule="atLeast"/>
        <w:ind w:firstLine="560" w:firstLineChars="200"/>
        <w:rPr>
          <w:rFonts w:ascii="仿宋" w:hAnsi="仿宋" w:eastAsia="仿宋" w:cs="Arial"/>
          <w:sz w:val="28"/>
          <w:szCs w:val="28"/>
        </w:rPr>
      </w:pPr>
      <w:r>
        <w:rPr>
          <w:rFonts w:hint="eastAsia" w:ascii="仿宋" w:hAnsi="仿宋" w:eastAsia="仿宋" w:cs="Arial"/>
          <w:sz w:val="28"/>
          <w:szCs w:val="28"/>
        </w:rPr>
        <w:t xml:space="preserve">  </w:t>
      </w:r>
    </w:p>
    <w:p>
      <w:pPr>
        <w:pStyle w:val="9"/>
        <w:shd w:val="clear" w:color="auto" w:fill="FFFFFF"/>
        <w:spacing w:before="0" w:beforeAutospacing="0" w:after="0" w:afterAutospacing="0" w:line="205" w:lineRule="atLeast"/>
        <w:ind w:left="1260" w:firstLine="2240" w:firstLineChars="800"/>
        <w:rPr>
          <w:rFonts w:ascii="仿宋" w:hAnsi="仿宋" w:eastAsia="仿宋" w:cs="Arial"/>
          <w:sz w:val="28"/>
          <w:szCs w:val="28"/>
        </w:rPr>
      </w:pPr>
      <w:r>
        <w:rPr>
          <w:rFonts w:hint="eastAsia" w:ascii="仿宋" w:hAnsi="仿宋" w:eastAsia="仿宋" w:cs="Arial"/>
          <w:sz w:val="28"/>
          <w:szCs w:val="28"/>
        </w:rPr>
        <w:t>承诺人姓名：      （考生本人手写签名）</w:t>
      </w:r>
    </w:p>
    <w:p>
      <w:pPr>
        <w:pStyle w:val="9"/>
        <w:shd w:val="clear" w:color="auto" w:fill="FFFFFF"/>
        <w:spacing w:before="0" w:beforeAutospacing="0" w:after="0" w:afterAutospacing="0" w:line="205" w:lineRule="atLeast"/>
        <w:ind w:firstLine="560" w:firstLineChars="200"/>
        <w:rPr>
          <w:rFonts w:ascii="仿宋" w:hAnsi="仿宋" w:eastAsia="仿宋" w:cs="Arial"/>
          <w:sz w:val="28"/>
          <w:szCs w:val="28"/>
        </w:rPr>
      </w:pPr>
      <w:r>
        <w:rPr>
          <w:rFonts w:hint="eastAsia" w:ascii="仿宋" w:hAnsi="仿宋" w:eastAsia="仿宋" w:cs="Arial"/>
          <w:sz w:val="28"/>
          <w:szCs w:val="28"/>
        </w:rPr>
        <w:t xml:space="preserve">            </w:t>
      </w:r>
      <w:r>
        <w:rPr>
          <w:rFonts w:ascii="仿宋" w:hAnsi="仿宋" w:eastAsia="仿宋" w:cs="Arial"/>
          <w:sz w:val="28"/>
          <w:szCs w:val="28"/>
        </w:rPr>
        <w:t xml:space="preserve">  </w:t>
      </w:r>
      <w:r>
        <w:rPr>
          <w:rFonts w:hint="eastAsia" w:ascii="仿宋" w:hAnsi="仿宋" w:eastAsia="仿宋" w:cs="Arial"/>
          <w:sz w:val="28"/>
          <w:szCs w:val="28"/>
        </w:rPr>
        <w:t xml:space="preserve">     </w:t>
      </w:r>
      <w:r>
        <w:rPr>
          <w:rFonts w:ascii="仿宋" w:hAnsi="仿宋" w:eastAsia="仿宋" w:cs="Arial"/>
          <w:sz w:val="28"/>
          <w:szCs w:val="28"/>
        </w:rPr>
        <w:t xml:space="preserve">            </w:t>
      </w:r>
      <w:r>
        <w:rPr>
          <w:rFonts w:hint="eastAsia" w:ascii="仿宋" w:hAnsi="仿宋" w:eastAsia="仿宋" w:cs="Arial"/>
          <w:sz w:val="28"/>
          <w:szCs w:val="28"/>
        </w:rPr>
        <w:t>时间：  2021年  月   日</w:t>
      </w:r>
    </w:p>
    <w:p/>
    <w:p>
      <w:pPr>
        <w:widowControl/>
        <w:jc w:val="left"/>
        <w:rPr>
          <w:rFonts w:ascii="Cambria" w:hAnsi="Cambria" w:eastAsia="宋体" w:cs="宋体"/>
          <w:b/>
          <w:bCs/>
          <w:kern w:val="0"/>
          <w:sz w:val="32"/>
          <w:szCs w:val="32"/>
        </w:rPr>
      </w:pPr>
      <w:r>
        <w:rPr>
          <w:rFonts w:ascii="仿宋" w:hAnsi="仿宋" w:eastAsia="仿宋" w:cs="仿宋"/>
          <w:sz w:val="28"/>
          <w:szCs w:val="32"/>
        </w:rPr>
        <w:br w:type="page"/>
      </w:r>
    </w:p>
    <w:p>
      <w:pPr>
        <w:widowControl/>
        <w:shd w:val="clear" w:color="auto" w:fill="FFFFFF"/>
        <w:spacing w:line="197" w:lineRule="atLeast"/>
        <w:jc w:val="center"/>
        <w:textAlignment w:val="baseline"/>
        <w:rPr>
          <w:rFonts w:ascii="仿宋" w:hAnsi="仿宋" w:eastAsia="仿宋" w:cs="仿宋"/>
          <w:b/>
          <w:sz w:val="32"/>
          <w:szCs w:val="32"/>
        </w:rPr>
      </w:pPr>
      <w:r>
        <w:rPr>
          <w:rFonts w:hint="eastAsia" w:ascii="仿宋" w:hAnsi="仿宋" w:eastAsia="仿宋" w:cs="仿宋"/>
          <w:b/>
          <w:sz w:val="32"/>
          <w:szCs w:val="32"/>
        </w:rPr>
        <w:t>三峡大学计算机与信息学院2021年硕士研究生复试资格审核</w:t>
      </w:r>
    </w:p>
    <w:p>
      <w:pPr>
        <w:widowControl/>
        <w:shd w:val="clear" w:color="auto" w:fill="FFFFFF"/>
        <w:spacing w:line="197" w:lineRule="atLeast"/>
        <w:jc w:val="center"/>
        <w:textAlignment w:val="baseline"/>
        <w:rPr>
          <w:rFonts w:ascii="仿宋" w:hAnsi="仿宋" w:eastAsia="仿宋" w:cs="仿宋"/>
          <w:sz w:val="28"/>
          <w:szCs w:val="32"/>
        </w:rPr>
      </w:pPr>
    </w:p>
    <w:p>
      <w:pPr>
        <w:spacing w:line="520" w:lineRule="exact"/>
        <w:ind w:firstLine="560" w:firstLineChars="200"/>
        <w:rPr>
          <w:rFonts w:ascii="仿宋" w:hAnsi="仿宋" w:eastAsia="仿宋"/>
          <w:sz w:val="28"/>
          <w:szCs w:val="28"/>
        </w:rPr>
      </w:pPr>
      <w:r>
        <w:rPr>
          <w:rFonts w:hint="eastAsia" w:ascii="仿宋" w:hAnsi="仿宋" w:eastAsia="仿宋"/>
          <w:sz w:val="28"/>
          <w:szCs w:val="28"/>
        </w:rPr>
        <w:t xml:space="preserve">请考生于2021年 </w:t>
      </w:r>
      <w:r>
        <w:rPr>
          <w:rFonts w:ascii="仿宋" w:hAnsi="仿宋" w:eastAsia="仿宋"/>
          <w:sz w:val="28"/>
          <w:szCs w:val="28"/>
        </w:rPr>
        <w:t>3</w:t>
      </w:r>
      <w:r>
        <w:rPr>
          <w:rFonts w:hint="eastAsia" w:ascii="仿宋" w:hAnsi="仿宋" w:eastAsia="仿宋"/>
          <w:sz w:val="28"/>
          <w:szCs w:val="28"/>
        </w:rPr>
        <w:t xml:space="preserve"> 月 </w:t>
      </w:r>
      <w:r>
        <w:rPr>
          <w:rFonts w:ascii="仿宋" w:hAnsi="仿宋" w:eastAsia="仿宋"/>
          <w:sz w:val="28"/>
          <w:szCs w:val="28"/>
        </w:rPr>
        <w:t>30</w:t>
      </w:r>
      <w:r>
        <w:rPr>
          <w:rFonts w:hint="eastAsia" w:ascii="仿宋" w:hAnsi="仿宋" w:eastAsia="仿宋"/>
          <w:sz w:val="28"/>
          <w:szCs w:val="28"/>
        </w:rPr>
        <w:t xml:space="preserve"> 日携带以下材料到信息科学楼B</w:t>
      </w:r>
      <w:r>
        <w:rPr>
          <w:rFonts w:ascii="仿宋" w:hAnsi="仿宋" w:eastAsia="仿宋"/>
          <w:sz w:val="28"/>
          <w:szCs w:val="28"/>
        </w:rPr>
        <w:t>3-411</w:t>
      </w:r>
      <w:r>
        <w:rPr>
          <w:rFonts w:hint="eastAsia" w:ascii="仿宋" w:hAnsi="仿宋" w:eastAsia="仿宋"/>
          <w:sz w:val="28"/>
          <w:szCs w:val="28"/>
        </w:rPr>
        <w:t>进行复试资格审核：</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1.初试准考证</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2.身份证</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3.毕业证原件（应届生为学生证，自考应届本科毕业生还需持省自考办毕业证明、网络教育应届本科毕业生还需持学校毕业证明）</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 xml:space="preserve">4.在学信网上下载学籍学历核查材料。应届毕业生为学籍在线验证报告，往届毕业生为学历证书电子注册备案表或学历认证报告(往届生不要误下载学籍在线验证报告，否则视为无效) </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5.加盖公章的本科阶段(高职高专考生为高职高专阶段)成绩单</w:t>
      </w:r>
    </w:p>
    <w:p>
      <w:pPr>
        <w:spacing w:line="540" w:lineRule="exact"/>
        <w:ind w:firstLine="560" w:firstLineChars="200"/>
        <w:rPr>
          <w:rFonts w:ascii="仿宋" w:hAnsi="仿宋" w:eastAsia="仿宋"/>
          <w:sz w:val="28"/>
          <w:szCs w:val="28"/>
        </w:rPr>
      </w:pP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.一贯学业表现信息简表（见附件1），及其证明材料</w:t>
      </w:r>
      <w:r>
        <w:rPr>
          <w:rFonts w:hint="eastAsia" w:ascii="仿宋" w:hAnsi="仿宋" w:eastAsia="仿宋"/>
          <w:sz w:val="28"/>
          <w:szCs w:val="28"/>
        </w:rPr>
        <w:t>（如科研成果或社会实践情况，获奖情况，学院要求的其他材料等）。</w:t>
      </w:r>
    </w:p>
    <w:p>
      <w:pPr>
        <w:spacing w:line="520" w:lineRule="exact"/>
        <w:ind w:firstLine="560" w:firstLineChars="20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.复试费缴费成功的截图</w:t>
      </w:r>
    </w:p>
    <w:p>
      <w:pPr>
        <w:spacing w:line="520" w:lineRule="exact"/>
        <w:ind w:firstLine="560" w:firstLineChars="200"/>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.非全日制考生还需提供定向就业合同（见附件</w:t>
      </w:r>
      <w:r>
        <w:rPr>
          <w:rFonts w:ascii="仿宋" w:hAnsi="仿宋" w:eastAsia="仿宋"/>
          <w:sz w:val="28"/>
          <w:szCs w:val="28"/>
        </w:rPr>
        <w:t>3</w:t>
      </w:r>
      <w:r>
        <w:rPr>
          <w:rFonts w:hint="eastAsia" w:ascii="仿宋" w:hAnsi="仿宋" w:eastAsia="仿宋"/>
          <w:sz w:val="28"/>
          <w:szCs w:val="28"/>
        </w:rPr>
        <w:t>）,本人及在职单位需签字盖章。现场复试考生在报到时提交原件(一式四份)，网络复试考生需在学院拟录取名单公布一周内将定向就业合同原件寄达学院。(学院收件地址、联系人和联系方式可在合适位置告知考生)</w:t>
      </w:r>
    </w:p>
    <w:p>
      <w:pPr>
        <w:spacing w:line="520" w:lineRule="exact"/>
        <w:ind w:firstLine="560" w:firstLineChars="200"/>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.若为大学生退役士兵计划考生，还需提供加盖公章的《应征公民入伍批准书》复印件和《退出现役证》</w:t>
      </w:r>
    </w:p>
    <w:p>
      <w:pPr>
        <w:spacing w:line="520" w:lineRule="exact"/>
        <w:ind w:firstLine="560" w:firstLineChars="200"/>
        <w:rPr>
          <w:rFonts w:ascii="仿宋" w:hAnsi="仿宋" w:eastAsia="仿宋"/>
          <w:sz w:val="28"/>
          <w:szCs w:val="28"/>
        </w:rPr>
      </w:pPr>
      <w:r>
        <w:rPr>
          <w:rFonts w:ascii="仿宋" w:hAnsi="仿宋" w:eastAsia="仿宋"/>
          <w:sz w:val="28"/>
          <w:szCs w:val="28"/>
        </w:rPr>
        <w:t>10</w:t>
      </w:r>
      <w:r>
        <w:rPr>
          <w:rFonts w:hint="eastAsia" w:ascii="仿宋" w:hAnsi="仿宋" w:eastAsia="仿宋"/>
          <w:sz w:val="28"/>
          <w:szCs w:val="28"/>
        </w:rPr>
        <w:t>.考生本人已手写签名的《诚信承诺书》和《知情承诺书》；</w:t>
      </w:r>
    </w:p>
    <w:p>
      <w:pPr>
        <w:spacing w:line="520" w:lineRule="exact"/>
        <w:ind w:firstLine="560" w:firstLineChars="200"/>
        <w:rPr>
          <w:rFonts w:ascii="仿宋" w:hAnsi="仿宋" w:eastAsia="仿宋" w:cs="仿宋"/>
          <w:sz w:val="28"/>
          <w:szCs w:val="32"/>
        </w:rPr>
      </w:pPr>
      <w:r>
        <w:rPr>
          <w:rFonts w:hint="eastAsia" w:ascii="仿宋" w:hAnsi="仿宋" w:eastAsia="仿宋"/>
          <w:sz w:val="28"/>
          <w:szCs w:val="28"/>
        </w:rPr>
        <w:t>以上所需材料提供不全者、不合格者，学院将需要继续补充的材料反馈给考生。若无不可抗因素，考生在复试前不能完整提供以上材料，将不予复试。</w:t>
      </w:r>
    </w:p>
    <w:p>
      <w:pPr>
        <w:widowControl/>
        <w:shd w:val="clear" w:color="auto" w:fill="FFFFFF"/>
        <w:spacing w:line="197" w:lineRule="atLeast"/>
        <w:jc w:val="center"/>
        <w:textAlignment w:val="baseline"/>
        <w:rPr>
          <w:rFonts w:ascii="仿宋" w:hAnsi="仿宋" w:eastAsia="仿宋" w:cs="仿宋"/>
          <w:sz w:val="28"/>
          <w:szCs w:val="32"/>
        </w:rPr>
      </w:pPr>
      <w:r>
        <w:rPr>
          <w:rFonts w:ascii="仿宋" w:hAnsi="仿宋" w:eastAsia="仿宋" w:cs="仿宋"/>
          <w:sz w:val="28"/>
          <w:szCs w:val="32"/>
        </w:rPr>
        <w:br w:type="page"/>
      </w:r>
    </w:p>
    <w:p>
      <w:pPr>
        <w:widowControl/>
        <w:jc w:val="center"/>
        <w:rPr>
          <w:rFonts w:ascii="仿宋" w:hAnsi="仿宋" w:eastAsia="仿宋" w:cs="仿宋"/>
          <w:b/>
          <w:sz w:val="32"/>
          <w:szCs w:val="32"/>
        </w:rPr>
      </w:pPr>
      <w:r>
        <w:rPr>
          <w:rFonts w:hint="eastAsia" w:ascii="仿宋" w:hAnsi="仿宋" w:eastAsia="仿宋" w:cs="仿宋"/>
          <w:b/>
          <w:sz w:val="32"/>
          <w:szCs w:val="32"/>
        </w:rPr>
        <w:t>三峡大学计算机与信息学院2021年硕士研究生复试考场规则</w:t>
      </w:r>
    </w:p>
    <w:p>
      <w:pPr>
        <w:widowControl/>
        <w:shd w:val="clear" w:color="auto" w:fill="FFFFFF"/>
        <w:spacing w:line="197" w:lineRule="atLeast"/>
        <w:jc w:val="left"/>
        <w:textAlignment w:val="baseline"/>
        <w:rPr>
          <w:rFonts w:ascii="仿宋" w:hAnsi="仿宋" w:eastAsia="仿宋" w:cs="仿宋"/>
          <w:sz w:val="28"/>
          <w:szCs w:val="32"/>
        </w:rPr>
      </w:pPr>
    </w:p>
    <w:p>
      <w:pPr>
        <w:widowControl/>
        <w:shd w:val="clear" w:color="auto" w:fill="FFFFFF"/>
        <w:spacing w:line="197" w:lineRule="atLeast"/>
        <w:ind w:firstLine="560" w:firstLineChars="200"/>
        <w:jc w:val="left"/>
        <w:textAlignment w:val="baseline"/>
        <w:rPr>
          <w:rFonts w:ascii="仿宋" w:hAnsi="仿宋" w:eastAsia="仿宋" w:cs="仿宋"/>
          <w:sz w:val="28"/>
          <w:szCs w:val="32"/>
        </w:rPr>
      </w:pPr>
      <w:r>
        <w:rPr>
          <w:rFonts w:hint="eastAsia" w:ascii="仿宋" w:hAnsi="仿宋" w:eastAsia="仿宋" w:cs="仿宋"/>
          <w:sz w:val="28"/>
          <w:szCs w:val="32"/>
        </w:rPr>
        <w:t>硕士研究生考试是国家选拔高层次人才的考试，考生必须诚信应考，服从管理，自觉维护公平公正原则，自觉维护网络远程复试考场良好秩序。考生在考场必须遵守以下规定：</w:t>
      </w:r>
    </w:p>
    <w:p>
      <w:pPr>
        <w:widowControl/>
        <w:shd w:val="clear" w:color="auto" w:fill="FFFFFF"/>
        <w:spacing w:line="197" w:lineRule="atLeast"/>
        <w:ind w:firstLine="560" w:firstLineChars="200"/>
        <w:jc w:val="left"/>
        <w:textAlignment w:val="baseline"/>
        <w:rPr>
          <w:rFonts w:ascii="仿宋" w:hAnsi="仿宋" w:eastAsia="仿宋" w:cs="仿宋"/>
          <w:sz w:val="28"/>
          <w:szCs w:val="32"/>
        </w:rPr>
      </w:pPr>
      <w:r>
        <w:rPr>
          <w:rFonts w:ascii="仿宋" w:hAnsi="仿宋" w:eastAsia="仿宋" w:cs="仿宋"/>
          <w:sz w:val="28"/>
          <w:szCs w:val="32"/>
        </w:rPr>
        <w:t>1</w:t>
      </w:r>
      <w:r>
        <w:rPr>
          <w:rFonts w:hint="eastAsia" w:ascii="仿宋" w:hAnsi="仿宋" w:eastAsia="仿宋" w:cs="仿宋"/>
          <w:sz w:val="28"/>
          <w:szCs w:val="32"/>
        </w:rPr>
        <w:t>.考生必须凭初试准考证和身份证参加复试，入场时自觉配合工作人员接受多重身份验证。</w:t>
      </w:r>
    </w:p>
    <w:p>
      <w:pPr>
        <w:widowControl/>
        <w:shd w:val="clear" w:color="auto" w:fill="FFFFFF"/>
        <w:spacing w:line="197" w:lineRule="atLeast"/>
        <w:ind w:firstLine="560" w:firstLineChars="200"/>
        <w:jc w:val="left"/>
        <w:textAlignment w:val="baseline"/>
        <w:rPr>
          <w:rFonts w:ascii="仿宋" w:hAnsi="仿宋" w:eastAsia="仿宋" w:cs="仿宋"/>
          <w:sz w:val="28"/>
          <w:szCs w:val="32"/>
        </w:rPr>
      </w:pPr>
      <w:r>
        <w:rPr>
          <w:rFonts w:ascii="仿宋" w:hAnsi="仿宋" w:eastAsia="仿宋" w:cs="仿宋"/>
          <w:sz w:val="28"/>
          <w:szCs w:val="32"/>
        </w:rPr>
        <w:t>2</w:t>
      </w:r>
      <w:r>
        <w:rPr>
          <w:rFonts w:hint="eastAsia" w:ascii="仿宋" w:hAnsi="仿宋" w:eastAsia="仿宋" w:cs="仿宋"/>
          <w:sz w:val="28"/>
          <w:szCs w:val="32"/>
        </w:rPr>
        <w:t>.考生应自觉服从考试工作人员管理，严格遵从考试安排，不得以任何理由妨碍考试工作人员履职尽责，不得扰乱考场秩序。</w:t>
      </w:r>
    </w:p>
    <w:p>
      <w:pPr>
        <w:widowControl/>
        <w:shd w:val="clear" w:color="auto" w:fill="FFFFFF"/>
        <w:spacing w:line="197" w:lineRule="atLeast"/>
        <w:ind w:firstLine="560" w:firstLineChars="200"/>
        <w:jc w:val="left"/>
        <w:textAlignment w:val="baseline"/>
        <w:rPr>
          <w:rFonts w:ascii="仿宋" w:hAnsi="仿宋" w:eastAsia="仿宋" w:cs="仿宋"/>
          <w:sz w:val="28"/>
          <w:szCs w:val="32"/>
        </w:rPr>
      </w:pPr>
      <w:r>
        <w:rPr>
          <w:rFonts w:ascii="仿宋" w:hAnsi="仿宋" w:eastAsia="仿宋" w:cs="仿宋"/>
          <w:sz w:val="28"/>
          <w:szCs w:val="32"/>
        </w:rPr>
        <w:t>3</w:t>
      </w:r>
      <w:r>
        <w:rPr>
          <w:rFonts w:hint="eastAsia" w:ascii="仿宋" w:hAnsi="仿宋" w:eastAsia="仿宋" w:cs="仿宋"/>
          <w:sz w:val="28"/>
          <w:szCs w:val="32"/>
        </w:rPr>
        <w:t>.考生复试期间，复试场所内不得有其他人在场和进出，不得有其他声音。</w:t>
      </w:r>
    </w:p>
    <w:p>
      <w:pPr>
        <w:widowControl/>
        <w:shd w:val="clear" w:color="auto" w:fill="FFFFFF"/>
        <w:spacing w:line="197" w:lineRule="atLeast"/>
        <w:ind w:firstLine="560" w:firstLineChars="200"/>
        <w:jc w:val="left"/>
        <w:textAlignment w:val="baseline"/>
        <w:rPr>
          <w:rFonts w:ascii="仿宋" w:hAnsi="仿宋" w:eastAsia="仿宋" w:cs="仿宋"/>
          <w:sz w:val="28"/>
          <w:szCs w:val="32"/>
        </w:rPr>
      </w:pPr>
      <w:r>
        <w:rPr>
          <w:rFonts w:ascii="仿宋" w:hAnsi="仿宋" w:eastAsia="仿宋" w:cs="仿宋"/>
          <w:sz w:val="28"/>
          <w:szCs w:val="32"/>
        </w:rPr>
        <w:t>4</w:t>
      </w:r>
      <w:r>
        <w:rPr>
          <w:rFonts w:hint="eastAsia" w:ascii="仿宋" w:hAnsi="仿宋" w:eastAsia="仿宋" w:cs="仿宋"/>
          <w:sz w:val="28"/>
          <w:szCs w:val="32"/>
        </w:rPr>
        <w:t>.开考信号发出后方可开始答题，不得提前答题；考试结束信号发出时，考生应立即停止答题并提交答卷。</w:t>
      </w:r>
    </w:p>
    <w:p>
      <w:pPr>
        <w:widowControl/>
        <w:shd w:val="clear" w:color="auto" w:fill="FFFFFF"/>
        <w:spacing w:line="197" w:lineRule="atLeast"/>
        <w:jc w:val="left"/>
        <w:textAlignment w:val="baseline"/>
        <w:rPr>
          <w:rFonts w:ascii="仿宋" w:hAnsi="仿宋" w:eastAsia="仿宋" w:cs="仿宋"/>
          <w:sz w:val="28"/>
          <w:szCs w:val="32"/>
        </w:rPr>
      </w:pPr>
    </w:p>
    <w:p>
      <w:pPr>
        <w:widowControl/>
        <w:shd w:val="clear" w:color="auto" w:fill="FFFFFF"/>
        <w:spacing w:line="197" w:lineRule="atLeast"/>
        <w:jc w:val="left"/>
        <w:textAlignment w:val="baseline"/>
        <w:rPr>
          <w:rFonts w:ascii="仿宋" w:hAnsi="仿宋" w:eastAsia="仿宋" w:cs="仿宋"/>
          <w:sz w:val="28"/>
          <w:szCs w:val="32"/>
        </w:rPr>
      </w:pPr>
    </w:p>
    <w:p>
      <w:pPr>
        <w:widowControl/>
        <w:jc w:val="left"/>
        <w:rPr>
          <w:rFonts w:ascii="仿宋" w:hAnsi="仿宋" w:eastAsia="仿宋" w:cs="仿宋"/>
          <w:sz w:val="28"/>
          <w:szCs w:val="32"/>
        </w:rPr>
      </w:pPr>
      <w:r>
        <w:rPr>
          <w:rFonts w:ascii="仿宋" w:hAnsi="仿宋" w:eastAsia="仿宋" w:cs="仿宋"/>
          <w:sz w:val="28"/>
          <w:szCs w:val="32"/>
        </w:rPr>
        <w:br w:type="page"/>
      </w:r>
    </w:p>
    <w:p>
      <w:pPr>
        <w:widowControl/>
        <w:shd w:val="clear" w:color="auto" w:fill="FFFFFF"/>
        <w:spacing w:line="197" w:lineRule="atLeast"/>
        <w:jc w:val="center"/>
        <w:textAlignment w:val="baseline"/>
        <w:rPr>
          <w:rFonts w:ascii="仿宋" w:hAnsi="仿宋" w:eastAsia="仿宋" w:cs="仿宋"/>
          <w:sz w:val="32"/>
          <w:szCs w:val="32"/>
        </w:rPr>
      </w:pPr>
    </w:p>
    <w:p>
      <w:pPr>
        <w:widowControl/>
        <w:spacing w:line="197" w:lineRule="atLeast"/>
        <w:jc w:val="center"/>
        <w:textAlignment w:val="baseline"/>
        <w:rPr>
          <w:rFonts w:ascii="仿宋" w:hAnsi="仿宋" w:eastAsia="仿宋" w:cs="仿宋"/>
          <w:b/>
          <w:sz w:val="32"/>
          <w:szCs w:val="32"/>
        </w:rPr>
      </w:pPr>
      <w:r>
        <w:rPr>
          <w:rFonts w:hint="eastAsia" w:ascii="仿宋" w:hAnsi="仿宋" w:eastAsia="仿宋" w:cs="仿宋"/>
          <w:b/>
          <w:sz w:val="32"/>
          <w:szCs w:val="32"/>
        </w:rPr>
        <w:t>三峡大学计算机与信息学院2021年硕士研究生复试知情承诺书</w:t>
      </w:r>
    </w:p>
    <w:p>
      <w:pPr>
        <w:widowControl/>
        <w:spacing w:line="197" w:lineRule="atLeast"/>
        <w:jc w:val="left"/>
        <w:textAlignment w:val="baseline"/>
        <w:rPr>
          <w:rFonts w:ascii="Cambria" w:hAnsi="Cambria" w:eastAsia="宋体" w:cs="宋体"/>
          <w:kern w:val="0"/>
          <w:sz w:val="26"/>
          <w:szCs w:val="26"/>
        </w:rPr>
      </w:pPr>
    </w:p>
    <w:p>
      <w:pPr>
        <w:widowControl/>
        <w:spacing w:line="197" w:lineRule="atLeast"/>
        <w:ind w:firstLine="560" w:firstLineChars="200"/>
        <w:jc w:val="left"/>
        <w:textAlignment w:val="baseline"/>
        <w:rPr>
          <w:rFonts w:ascii="仿宋" w:hAnsi="仿宋" w:eastAsia="仿宋" w:cs="仿宋"/>
          <w:sz w:val="28"/>
          <w:szCs w:val="32"/>
        </w:rPr>
      </w:pPr>
      <w:r>
        <w:rPr>
          <w:rFonts w:hint="eastAsia" w:ascii="仿宋" w:hAnsi="仿宋" w:eastAsia="仿宋" w:cs="仿宋"/>
          <w:sz w:val="28"/>
          <w:szCs w:val="32"/>
        </w:rPr>
        <w:t>我已全面阅读《计算机与信息学院2021年硕士研究生招生考生复试手册》、《三峡大学计算机与信息学院 2021年硕士研究生考生须知》、《计算机与信息学院2021年硕士研究生复试录取工作实施细则》，了解硕士研究生考试违规处理相关规定，并自愿参加计算机与信息学院2021年硕士研究生复试，遵守学院安排和考试纪律，同时保证积极做好复试相关准备。</w:t>
      </w:r>
    </w:p>
    <w:p>
      <w:pPr>
        <w:widowControl/>
        <w:spacing w:line="197" w:lineRule="atLeast"/>
        <w:ind w:firstLine="560" w:firstLineChars="200"/>
        <w:jc w:val="left"/>
        <w:textAlignment w:val="baseline"/>
        <w:rPr>
          <w:rFonts w:ascii="仿宋" w:hAnsi="仿宋" w:eastAsia="仿宋" w:cs="仿宋"/>
          <w:sz w:val="28"/>
          <w:szCs w:val="32"/>
        </w:rPr>
      </w:pPr>
      <w:r>
        <w:rPr>
          <w:rFonts w:hint="eastAsia" w:ascii="仿宋" w:hAnsi="仿宋" w:eastAsia="仿宋" w:cs="仿宋"/>
          <w:sz w:val="28"/>
          <w:szCs w:val="32"/>
        </w:rPr>
        <w:t>以上所述如有虚假，本人承担一切后果，特此承诺！</w:t>
      </w:r>
    </w:p>
    <w:p>
      <w:pPr>
        <w:widowControl/>
        <w:spacing w:line="197" w:lineRule="atLeast"/>
        <w:ind w:firstLine="560" w:firstLineChars="200"/>
        <w:jc w:val="left"/>
        <w:textAlignment w:val="baseline"/>
        <w:rPr>
          <w:rFonts w:ascii="仿宋" w:hAnsi="仿宋" w:eastAsia="仿宋" w:cs="仿宋"/>
          <w:sz w:val="28"/>
          <w:szCs w:val="32"/>
        </w:rPr>
      </w:pPr>
    </w:p>
    <w:p>
      <w:pPr>
        <w:widowControl/>
        <w:spacing w:line="197" w:lineRule="atLeast"/>
        <w:ind w:firstLine="560" w:firstLineChars="200"/>
        <w:jc w:val="left"/>
        <w:textAlignment w:val="baseline"/>
        <w:rPr>
          <w:rFonts w:ascii="仿宋" w:hAnsi="仿宋" w:eastAsia="仿宋" w:cs="仿宋"/>
          <w:sz w:val="28"/>
          <w:szCs w:val="32"/>
        </w:rPr>
      </w:pPr>
    </w:p>
    <w:p>
      <w:pPr>
        <w:widowControl/>
        <w:spacing w:line="197" w:lineRule="atLeast"/>
        <w:jc w:val="left"/>
        <w:textAlignment w:val="baseline"/>
        <w:rPr>
          <w:rFonts w:ascii="仿宋" w:hAnsi="仿宋" w:eastAsia="仿宋" w:cs="仿宋"/>
          <w:sz w:val="28"/>
          <w:szCs w:val="32"/>
        </w:rPr>
      </w:pPr>
    </w:p>
    <w:p>
      <w:pPr>
        <w:widowControl/>
        <w:spacing w:line="197" w:lineRule="atLeast"/>
        <w:jc w:val="left"/>
        <w:textAlignment w:val="baseline"/>
        <w:rPr>
          <w:rFonts w:ascii="仿宋" w:hAnsi="仿宋" w:eastAsia="仿宋" w:cs="仿宋"/>
          <w:sz w:val="28"/>
          <w:szCs w:val="32"/>
        </w:rPr>
      </w:pPr>
    </w:p>
    <w:p>
      <w:pPr>
        <w:widowControl/>
        <w:spacing w:line="197" w:lineRule="atLeast"/>
        <w:jc w:val="left"/>
        <w:textAlignment w:val="baseline"/>
        <w:rPr>
          <w:rFonts w:ascii="仿宋" w:hAnsi="仿宋" w:eastAsia="仿宋" w:cs="仿宋"/>
          <w:sz w:val="28"/>
          <w:szCs w:val="32"/>
        </w:rPr>
      </w:pPr>
    </w:p>
    <w:p>
      <w:pPr>
        <w:widowControl/>
        <w:spacing w:line="197" w:lineRule="atLeast"/>
        <w:jc w:val="left"/>
        <w:textAlignment w:val="baseline"/>
        <w:rPr>
          <w:rFonts w:ascii="仿宋" w:hAnsi="仿宋" w:eastAsia="仿宋" w:cs="仿宋"/>
          <w:sz w:val="28"/>
          <w:szCs w:val="32"/>
        </w:rPr>
      </w:pPr>
    </w:p>
    <w:p>
      <w:pPr>
        <w:widowControl/>
        <w:spacing w:line="197" w:lineRule="atLeast"/>
        <w:jc w:val="left"/>
        <w:textAlignment w:val="baseline"/>
        <w:rPr>
          <w:rFonts w:ascii="仿宋" w:hAnsi="仿宋" w:eastAsia="仿宋" w:cs="仿宋"/>
          <w:sz w:val="28"/>
          <w:szCs w:val="32"/>
        </w:rPr>
      </w:pPr>
    </w:p>
    <w:p>
      <w:pPr>
        <w:widowControl/>
        <w:spacing w:line="197" w:lineRule="atLeast"/>
        <w:jc w:val="left"/>
        <w:textAlignment w:val="baseline"/>
        <w:rPr>
          <w:rFonts w:ascii="仿宋" w:hAnsi="仿宋" w:eastAsia="仿宋" w:cs="仿宋"/>
          <w:sz w:val="28"/>
          <w:szCs w:val="32"/>
        </w:rPr>
      </w:pPr>
    </w:p>
    <w:p>
      <w:pPr>
        <w:pStyle w:val="9"/>
        <w:shd w:val="clear" w:color="auto" w:fill="FFFFFF"/>
        <w:spacing w:before="0" w:beforeAutospacing="0" w:after="0" w:afterAutospacing="0" w:line="205" w:lineRule="atLeast"/>
        <w:ind w:left="1260" w:leftChars="600" w:firstLine="2240" w:firstLineChars="800"/>
        <w:rPr>
          <w:rFonts w:ascii="仿宋" w:hAnsi="仿宋" w:eastAsia="仿宋" w:cs="仿宋"/>
          <w:kern w:val="2"/>
          <w:sz w:val="28"/>
          <w:szCs w:val="32"/>
        </w:rPr>
      </w:pPr>
      <w:r>
        <w:rPr>
          <w:rFonts w:hint="eastAsia" w:ascii="仿宋" w:hAnsi="仿宋" w:eastAsia="仿宋" w:cs="仿宋"/>
          <w:kern w:val="2"/>
          <w:sz w:val="28"/>
          <w:szCs w:val="32"/>
        </w:rPr>
        <w:t xml:space="preserve">承诺人姓名：      </w:t>
      </w:r>
      <w:r>
        <w:rPr>
          <w:rFonts w:ascii="仿宋" w:hAnsi="仿宋" w:eastAsia="仿宋" w:cs="仿宋"/>
          <w:kern w:val="2"/>
          <w:sz w:val="28"/>
          <w:szCs w:val="32"/>
        </w:rPr>
        <w:t xml:space="preserve"> </w:t>
      </w:r>
      <w:r>
        <w:rPr>
          <w:rFonts w:hint="eastAsia" w:ascii="仿宋" w:hAnsi="仿宋" w:eastAsia="仿宋" w:cs="仿宋"/>
          <w:kern w:val="2"/>
          <w:sz w:val="28"/>
          <w:szCs w:val="32"/>
        </w:rPr>
        <w:t>（考生本人手写签名）</w:t>
      </w:r>
    </w:p>
    <w:p>
      <w:pPr>
        <w:pStyle w:val="9"/>
        <w:shd w:val="clear" w:color="auto" w:fill="FFFFFF"/>
        <w:spacing w:before="0" w:beforeAutospacing="0" w:after="0" w:afterAutospacing="0" w:line="205" w:lineRule="atLeast"/>
        <w:ind w:left="1260" w:leftChars="600" w:firstLine="2940" w:firstLineChars="1050"/>
        <w:rPr>
          <w:rFonts w:ascii="仿宋" w:hAnsi="仿宋" w:eastAsia="仿宋" w:cs="仿宋"/>
          <w:kern w:val="2"/>
          <w:sz w:val="28"/>
          <w:szCs w:val="32"/>
        </w:rPr>
      </w:pPr>
      <w:r>
        <w:rPr>
          <w:rFonts w:ascii="仿宋" w:hAnsi="仿宋" w:eastAsia="仿宋" w:cs="仿宋"/>
          <w:kern w:val="2"/>
          <w:sz w:val="28"/>
          <w:szCs w:val="32"/>
        </w:rPr>
        <w:t>身份证号：</w:t>
      </w:r>
    </w:p>
    <w:p>
      <w:pPr>
        <w:pStyle w:val="9"/>
        <w:shd w:val="clear" w:color="auto" w:fill="FFFFFF"/>
        <w:spacing w:before="0" w:beforeAutospacing="0" w:after="0" w:afterAutospacing="0" w:line="205" w:lineRule="atLeast"/>
        <w:ind w:left="1260" w:leftChars="600" w:firstLine="2940" w:firstLineChars="1050"/>
        <w:rPr>
          <w:rFonts w:ascii="仿宋" w:hAnsi="仿宋" w:eastAsia="仿宋" w:cs="仿宋"/>
          <w:kern w:val="2"/>
          <w:sz w:val="28"/>
          <w:szCs w:val="32"/>
        </w:rPr>
      </w:pPr>
      <w:r>
        <w:rPr>
          <w:rFonts w:hint="eastAsia" w:ascii="仿宋" w:hAnsi="仿宋" w:eastAsia="仿宋" w:cs="仿宋"/>
          <w:kern w:val="2"/>
          <w:sz w:val="28"/>
          <w:szCs w:val="32"/>
        </w:rPr>
        <w:t>时间：  2021</w:t>
      </w:r>
      <w:r>
        <w:rPr>
          <w:rFonts w:ascii="仿宋" w:hAnsi="仿宋" w:eastAsia="仿宋" w:cs="仿宋"/>
          <w:kern w:val="2"/>
          <w:sz w:val="28"/>
          <w:szCs w:val="32"/>
        </w:rPr>
        <w:t>年</w:t>
      </w:r>
      <w:r>
        <w:rPr>
          <w:rFonts w:hint="eastAsia" w:ascii="仿宋" w:hAnsi="仿宋" w:eastAsia="仿宋" w:cs="仿宋"/>
          <w:kern w:val="2"/>
          <w:sz w:val="28"/>
          <w:szCs w:val="32"/>
        </w:rPr>
        <w:t xml:space="preserve">  </w:t>
      </w:r>
      <w:r>
        <w:rPr>
          <w:rFonts w:ascii="仿宋" w:hAnsi="仿宋" w:eastAsia="仿宋" w:cs="仿宋"/>
          <w:kern w:val="2"/>
          <w:sz w:val="28"/>
          <w:szCs w:val="32"/>
        </w:rPr>
        <w:t xml:space="preserve"> 月</w:t>
      </w:r>
      <w:r>
        <w:rPr>
          <w:rFonts w:hint="eastAsia" w:ascii="仿宋" w:hAnsi="仿宋" w:eastAsia="仿宋" w:cs="仿宋"/>
          <w:kern w:val="2"/>
          <w:sz w:val="28"/>
          <w:szCs w:val="32"/>
        </w:rPr>
        <w:t xml:space="preserve"> </w:t>
      </w:r>
      <w:r>
        <w:rPr>
          <w:rFonts w:ascii="仿宋" w:hAnsi="仿宋" w:eastAsia="仿宋" w:cs="仿宋"/>
          <w:kern w:val="2"/>
          <w:sz w:val="28"/>
          <w:szCs w:val="32"/>
        </w:rPr>
        <w:t xml:space="preserve"> </w:t>
      </w:r>
      <w:r>
        <w:rPr>
          <w:rFonts w:hint="eastAsia" w:ascii="仿宋" w:hAnsi="仿宋" w:eastAsia="仿宋" w:cs="仿宋"/>
          <w:kern w:val="2"/>
          <w:sz w:val="28"/>
          <w:szCs w:val="32"/>
        </w:rPr>
        <w:t xml:space="preserve"> </w:t>
      </w:r>
      <w:r>
        <w:rPr>
          <w:rFonts w:ascii="仿宋" w:hAnsi="仿宋" w:eastAsia="仿宋" w:cs="仿宋"/>
          <w:kern w:val="2"/>
          <w:sz w:val="28"/>
          <w:szCs w:val="32"/>
        </w:rPr>
        <w:t>日</w:t>
      </w:r>
    </w:p>
    <w:p>
      <w:pPr>
        <w:widowControl/>
        <w:spacing w:line="197" w:lineRule="atLeast"/>
        <w:jc w:val="left"/>
        <w:textAlignment w:val="baseline"/>
        <w:rPr>
          <w:rFonts w:ascii="仿宋" w:hAnsi="仿宋" w:eastAsia="仿宋" w:cs="仿宋"/>
          <w:sz w:val="28"/>
          <w:szCs w:val="32"/>
        </w:rPr>
      </w:pPr>
    </w:p>
    <w:p>
      <w:pPr>
        <w:widowControl/>
        <w:spacing w:line="197" w:lineRule="atLeast"/>
        <w:jc w:val="left"/>
        <w:textAlignment w:val="baseline"/>
        <w:rPr>
          <w:rFonts w:ascii="仿宋" w:hAnsi="仿宋" w:eastAsia="仿宋" w:cs="仿宋"/>
          <w:sz w:val="28"/>
          <w:szCs w:val="32"/>
        </w:rPr>
      </w:pPr>
    </w:p>
    <w:sectPr>
      <w:footerReference r:id="rId4" w:type="default"/>
      <w:pgSz w:w="11906" w:h="16838"/>
      <w:pgMar w:top="1134" w:right="1134" w:bottom="1134" w:left="141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34E"/>
    <w:rsid w:val="00004E25"/>
    <w:rsid w:val="00013E38"/>
    <w:rsid w:val="00015822"/>
    <w:rsid w:val="00027C0B"/>
    <w:rsid w:val="00046186"/>
    <w:rsid w:val="00047746"/>
    <w:rsid w:val="00056560"/>
    <w:rsid w:val="000577EA"/>
    <w:rsid w:val="00062B32"/>
    <w:rsid w:val="00067AC9"/>
    <w:rsid w:val="00067BD4"/>
    <w:rsid w:val="000C1117"/>
    <w:rsid w:val="000D38B3"/>
    <w:rsid w:val="000D3F5C"/>
    <w:rsid w:val="000D49BE"/>
    <w:rsid w:val="000E7E8E"/>
    <w:rsid w:val="000F4703"/>
    <w:rsid w:val="00100E78"/>
    <w:rsid w:val="00104345"/>
    <w:rsid w:val="001512D0"/>
    <w:rsid w:val="00166E28"/>
    <w:rsid w:val="001A39B4"/>
    <w:rsid w:val="001A46A8"/>
    <w:rsid w:val="001C2247"/>
    <w:rsid w:val="001D234C"/>
    <w:rsid w:val="00212565"/>
    <w:rsid w:val="00213C66"/>
    <w:rsid w:val="00223484"/>
    <w:rsid w:val="00243631"/>
    <w:rsid w:val="00244799"/>
    <w:rsid w:val="002501EC"/>
    <w:rsid w:val="0025722B"/>
    <w:rsid w:val="00280523"/>
    <w:rsid w:val="00281CD8"/>
    <w:rsid w:val="00286524"/>
    <w:rsid w:val="00293241"/>
    <w:rsid w:val="002D0482"/>
    <w:rsid w:val="002F191A"/>
    <w:rsid w:val="002F23BE"/>
    <w:rsid w:val="002F2A75"/>
    <w:rsid w:val="003012D7"/>
    <w:rsid w:val="00305CBB"/>
    <w:rsid w:val="003076A9"/>
    <w:rsid w:val="003422E8"/>
    <w:rsid w:val="0036623C"/>
    <w:rsid w:val="00384327"/>
    <w:rsid w:val="00384C67"/>
    <w:rsid w:val="003A5175"/>
    <w:rsid w:val="003D4EC1"/>
    <w:rsid w:val="003F0B37"/>
    <w:rsid w:val="003F5C4C"/>
    <w:rsid w:val="004151B1"/>
    <w:rsid w:val="00415624"/>
    <w:rsid w:val="00427410"/>
    <w:rsid w:val="004409E7"/>
    <w:rsid w:val="00456351"/>
    <w:rsid w:val="00466281"/>
    <w:rsid w:val="0048320F"/>
    <w:rsid w:val="0049433F"/>
    <w:rsid w:val="004A2287"/>
    <w:rsid w:val="004C281A"/>
    <w:rsid w:val="004D1480"/>
    <w:rsid w:val="004E1A7E"/>
    <w:rsid w:val="004E222F"/>
    <w:rsid w:val="004E5566"/>
    <w:rsid w:val="004F05A1"/>
    <w:rsid w:val="0051688D"/>
    <w:rsid w:val="00523F32"/>
    <w:rsid w:val="0055364C"/>
    <w:rsid w:val="00555658"/>
    <w:rsid w:val="005747D6"/>
    <w:rsid w:val="005B3A37"/>
    <w:rsid w:val="005E0319"/>
    <w:rsid w:val="005F3D57"/>
    <w:rsid w:val="006010DC"/>
    <w:rsid w:val="00644642"/>
    <w:rsid w:val="00662A1D"/>
    <w:rsid w:val="00676B9D"/>
    <w:rsid w:val="006834E6"/>
    <w:rsid w:val="00686A55"/>
    <w:rsid w:val="00687E37"/>
    <w:rsid w:val="00690499"/>
    <w:rsid w:val="00692BAF"/>
    <w:rsid w:val="006A59C5"/>
    <w:rsid w:val="006D575B"/>
    <w:rsid w:val="006D6D05"/>
    <w:rsid w:val="00705978"/>
    <w:rsid w:val="00724826"/>
    <w:rsid w:val="00731F3E"/>
    <w:rsid w:val="00733706"/>
    <w:rsid w:val="007379FE"/>
    <w:rsid w:val="0077380A"/>
    <w:rsid w:val="00784D9F"/>
    <w:rsid w:val="00790C26"/>
    <w:rsid w:val="007B2955"/>
    <w:rsid w:val="007C3D8C"/>
    <w:rsid w:val="007D45E2"/>
    <w:rsid w:val="007E5E4A"/>
    <w:rsid w:val="007F5BD8"/>
    <w:rsid w:val="007F6E6A"/>
    <w:rsid w:val="008218AE"/>
    <w:rsid w:val="00825AFC"/>
    <w:rsid w:val="008315F6"/>
    <w:rsid w:val="00844AFE"/>
    <w:rsid w:val="008678AD"/>
    <w:rsid w:val="00871472"/>
    <w:rsid w:val="00873655"/>
    <w:rsid w:val="00876D61"/>
    <w:rsid w:val="008A0AFB"/>
    <w:rsid w:val="008B11D2"/>
    <w:rsid w:val="008B18E4"/>
    <w:rsid w:val="008B5998"/>
    <w:rsid w:val="008B7203"/>
    <w:rsid w:val="008C3B24"/>
    <w:rsid w:val="0094127A"/>
    <w:rsid w:val="00972BBF"/>
    <w:rsid w:val="00986A80"/>
    <w:rsid w:val="00995C17"/>
    <w:rsid w:val="009A3CD9"/>
    <w:rsid w:val="009A4DA9"/>
    <w:rsid w:val="009B17EC"/>
    <w:rsid w:val="009C52CA"/>
    <w:rsid w:val="00A02702"/>
    <w:rsid w:val="00A03500"/>
    <w:rsid w:val="00A076D8"/>
    <w:rsid w:val="00A1334E"/>
    <w:rsid w:val="00A16974"/>
    <w:rsid w:val="00A27510"/>
    <w:rsid w:val="00A30E56"/>
    <w:rsid w:val="00A40456"/>
    <w:rsid w:val="00A813BE"/>
    <w:rsid w:val="00AC182C"/>
    <w:rsid w:val="00AC222E"/>
    <w:rsid w:val="00AE4036"/>
    <w:rsid w:val="00B64513"/>
    <w:rsid w:val="00B70577"/>
    <w:rsid w:val="00B91554"/>
    <w:rsid w:val="00B92CB9"/>
    <w:rsid w:val="00BB0865"/>
    <w:rsid w:val="00BC4F21"/>
    <w:rsid w:val="00BC53B5"/>
    <w:rsid w:val="00BF3863"/>
    <w:rsid w:val="00BF4806"/>
    <w:rsid w:val="00C04B95"/>
    <w:rsid w:val="00C25D29"/>
    <w:rsid w:val="00C40063"/>
    <w:rsid w:val="00C50CB3"/>
    <w:rsid w:val="00C6184B"/>
    <w:rsid w:val="00C80EF5"/>
    <w:rsid w:val="00C82243"/>
    <w:rsid w:val="00C90A47"/>
    <w:rsid w:val="00CB1C99"/>
    <w:rsid w:val="00CC72BD"/>
    <w:rsid w:val="00CF1456"/>
    <w:rsid w:val="00CF392C"/>
    <w:rsid w:val="00CF75E3"/>
    <w:rsid w:val="00D26E39"/>
    <w:rsid w:val="00D43300"/>
    <w:rsid w:val="00D9609E"/>
    <w:rsid w:val="00DA541C"/>
    <w:rsid w:val="00DA66C0"/>
    <w:rsid w:val="00DE1985"/>
    <w:rsid w:val="00DF4D18"/>
    <w:rsid w:val="00E34077"/>
    <w:rsid w:val="00E36197"/>
    <w:rsid w:val="00E41114"/>
    <w:rsid w:val="00E670D9"/>
    <w:rsid w:val="00EA221D"/>
    <w:rsid w:val="00EB7D2D"/>
    <w:rsid w:val="00EC2123"/>
    <w:rsid w:val="00ED28AE"/>
    <w:rsid w:val="00ED444D"/>
    <w:rsid w:val="00F1745B"/>
    <w:rsid w:val="00F20FB7"/>
    <w:rsid w:val="00F21391"/>
    <w:rsid w:val="00F405A8"/>
    <w:rsid w:val="00F51CB4"/>
    <w:rsid w:val="00F52ED8"/>
    <w:rsid w:val="00F53195"/>
    <w:rsid w:val="00F75344"/>
    <w:rsid w:val="00F826A7"/>
    <w:rsid w:val="00F83630"/>
    <w:rsid w:val="00F8420E"/>
    <w:rsid w:val="00F978FA"/>
    <w:rsid w:val="00FC79FE"/>
    <w:rsid w:val="04533A12"/>
    <w:rsid w:val="2A390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uiPriority w:val="39"/>
    <w:pPr>
      <w:widowControl/>
      <w:spacing w:after="100" w:line="259" w:lineRule="auto"/>
      <w:ind w:left="440"/>
      <w:jc w:val="left"/>
    </w:pPr>
    <w:rPr>
      <w:rFonts w:cs="Times New Roman"/>
      <w:kern w:val="0"/>
      <w:sz w:val="22"/>
    </w:rPr>
  </w:style>
  <w:style w:type="paragraph" w:styleId="4">
    <w:name w:val="Balloon Text"/>
    <w:basedOn w:val="1"/>
    <w:link w:val="21"/>
    <w:semiHidden/>
    <w:unhideWhenUsed/>
    <w:uiPriority w:val="99"/>
    <w:rPr>
      <w:sz w:val="18"/>
      <w:szCs w:val="18"/>
    </w:rPr>
  </w:style>
  <w:style w:type="paragraph" w:styleId="5">
    <w:name w:val="footer"/>
    <w:basedOn w:val="1"/>
    <w:link w:val="20"/>
    <w:unhideWhenUsed/>
    <w:uiPriority w:val="99"/>
    <w:pPr>
      <w:tabs>
        <w:tab w:val="center" w:pos="4153"/>
        <w:tab w:val="right" w:pos="8306"/>
      </w:tabs>
      <w:snapToGrid w:val="0"/>
      <w:jc w:val="left"/>
    </w:pPr>
    <w:rPr>
      <w:sz w:val="18"/>
      <w:szCs w:val="18"/>
    </w:rPr>
  </w:style>
  <w:style w:type="paragraph" w:styleId="6">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uiPriority w:val="39"/>
    <w:pPr>
      <w:widowControl/>
      <w:spacing w:before="100" w:beforeAutospacing="1" w:after="100" w:afterAutospacing="1"/>
      <w:jc w:val="left"/>
    </w:pPr>
    <w:rPr>
      <w:rFonts w:ascii="宋体" w:hAnsi="宋体" w:eastAsia="宋体" w:cs="宋体"/>
      <w:kern w:val="0"/>
      <w:sz w:val="24"/>
      <w:szCs w:val="24"/>
    </w:rPr>
  </w:style>
  <w:style w:type="paragraph" w:styleId="8">
    <w:name w:val="toc 2"/>
    <w:basedOn w:val="1"/>
    <w:next w:val="1"/>
    <w:unhideWhenUsed/>
    <w:uiPriority w:val="39"/>
    <w:pPr>
      <w:widowControl/>
      <w:spacing w:after="100" w:line="259" w:lineRule="auto"/>
      <w:ind w:left="220"/>
      <w:jc w:val="left"/>
    </w:pPr>
    <w:rPr>
      <w:rFonts w:cs="Times New Roman"/>
      <w:kern w:val="0"/>
      <w:sz w:val="22"/>
    </w:rPr>
  </w:style>
  <w:style w:type="paragraph" w:styleId="9">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link w:val="17"/>
    <w:qFormat/>
    <w:uiPriority w:val="10"/>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22"/>
    <w:rPr>
      <w:b/>
      <w:bCs/>
    </w:rPr>
  </w:style>
  <w:style w:type="character" w:styleId="14">
    <w:name w:val="Hyperlink"/>
    <w:basedOn w:val="12"/>
    <w:semiHidden/>
    <w:unhideWhenUsed/>
    <w:uiPriority w:val="99"/>
    <w:rPr>
      <w:color w:val="0000FF"/>
      <w:u w:val="single"/>
    </w:rPr>
  </w:style>
  <w:style w:type="character" w:customStyle="1" w:styleId="15">
    <w:name w:val="16"/>
    <w:basedOn w:val="12"/>
    <w:uiPriority w:val="0"/>
  </w:style>
  <w:style w:type="character" w:customStyle="1" w:styleId="16">
    <w:name w:val="标题 1 Char"/>
    <w:basedOn w:val="12"/>
    <w:link w:val="2"/>
    <w:uiPriority w:val="9"/>
    <w:rPr>
      <w:rFonts w:ascii="宋体" w:hAnsi="宋体" w:eastAsia="宋体" w:cs="宋体"/>
      <w:b/>
      <w:bCs/>
      <w:kern w:val="36"/>
      <w:sz w:val="48"/>
      <w:szCs w:val="48"/>
    </w:rPr>
  </w:style>
  <w:style w:type="character" w:customStyle="1" w:styleId="17">
    <w:name w:val="标题 Char"/>
    <w:basedOn w:val="12"/>
    <w:link w:val="10"/>
    <w:uiPriority w:val="10"/>
    <w:rPr>
      <w:rFonts w:ascii="宋体" w:hAnsi="宋体" w:eastAsia="宋体" w:cs="宋体"/>
      <w:kern w:val="0"/>
      <w:sz w:val="24"/>
      <w:szCs w:val="24"/>
    </w:rPr>
  </w:style>
  <w:style w:type="paragraph" w:styleId="18">
    <w:name w:val="List Paragraph"/>
    <w:basedOn w:val="1"/>
    <w:qFormat/>
    <w:uiPriority w:val="34"/>
    <w:pPr>
      <w:ind w:firstLine="420" w:firstLineChars="200"/>
    </w:pPr>
  </w:style>
  <w:style w:type="character" w:customStyle="1" w:styleId="19">
    <w:name w:val="页眉 Char"/>
    <w:basedOn w:val="12"/>
    <w:link w:val="6"/>
    <w:qFormat/>
    <w:uiPriority w:val="99"/>
    <w:rPr>
      <w:sz w:val="18"/>
      <w:szCs w:val="18"/>
    </w:rPr>
  </w:style>
  <w:style w:type="character" w:customStyle="1" w:styleId="20">
    <w:name w:val="页脚 Char"/>
    <w:basedOn w:val="12"/>
    <w:link w:val="5"/>
    <w:qFormat/>
    <w:uiPriority w:val="99"/>
    <w:rPr>
      <w:sz w:val="18"/>
      <w:szCs w:val="18"/>
    </w:rPr>
  </w:style>
  <w:style w:type="character" w:customStyle="1" w:styleId="21">
    <w:name w:val="批注框文本 Char"/>
    <w:basedOn w:val="12"/>
    <w:link w:val="4"/>
    <w:semiHidden/>
    <w:qFormat/>
    <w:uiPriority w:val="99"/>
    <w:rPr>
      <w:sz w:val="18"/>
      <w:szCs w:val="18"/>
    </w:rPr>
  </w:style>
  <w:style w:type="paragraph" w:customStyle="1" w:styleId="22">
    <w:name w:val="TOC Heading"/>
    <w:basedOn w:val="2"/>
    <w:next w:val="1"/>
    <w:unhideWhenUsed/>
    <w:qFormat/>
    <w:uiPriority w:val="39"/>
    <w:pPr>
      <w:keepNext/>
      <w:keepLines/>
      <w:spacing w:before="240" w:beforeAutospacing="0" w:after="0" w:afterAutospacing="0" w:line="259" w:lineRule="auto"/>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D139FE-9325-4499-B9C2-D108EFF2075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2604</Words>
  <Characters>14846</Characters>
  <Lines>123</Lines>
  <Paragraphs>34</Paragraphs>
  <TotalTime>1</TotalTime>
  <ScaleCrop>false</ScaleCrop>
  <LinksUpToDate>false</LinksUpToDate>
  <CharactersWithSpaces>17416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2021-03-25T06:41:00Z</dcterms:created>
  <dc:creator>个人用户</dc:creator>
  <cp:lastModifiedBy>发大水</cp:lastModifiedBy>
  <dcterms:modified xsi:type="dcterms:W3CDTF">2021-03-25T08:48:24Z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8437850CB0864F1FA4BE8EE64CE3E3B9</vt:lpwstr>
  </property>
</Properties>
</file>